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B7505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黑体" w:eastAsia="黑体" w:cs="黑体"/>
          <w:b w:val="0"/>
          <w:bCs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u w:val="none"/>
        </w:rPr>
        <w:t>四川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none"/>
          <w:lang w:eastAsia="zh-CN"/>
        </w:rPr>
        <w:t>省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none"/>
        </w:rPr>
        <w:t>郫县豆瓣股份有限公司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none"/>
          <w:lang w:val="en-US" w:eastAsia="zh-CN"/>
        </w:rPr>
        <w:t xml:space="preserve"> </w:t>
      </w:r>
    </w:p>
    <w:p w14:paraId="6056A603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黑体" w:eastAsia="黑体" w:cs="黑体"/>
          <w:b w:val="0"/>
          <w:bCs/>
          <w:sz w:val="28"/>
          <w:szCs w:val="28"/>
          <w:u w:val="none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single"/>
          <w:lang w:val="en-US" w:eastAsia="zh-CN"/>
        </w:rPr>
        <w:t>基础原料4号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none"/>
          <w:lang w:val="en-US" w:eastAsia="zh-CN"/>
        </w:rPr>
        <w:t xml:space="preserve"> 项目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none"/>
        </w:rPr>
        <w:t>询价单</w:t>
      </w:r>
    </w:p>
    <w:p w14:paraId="39E5AE4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u w:val="none"/>
        </w:rPr>
      </w:pPr>
      <w:r>
        <w:rPr>
          <w:rFonts w:hint="eastAsia" w:ascii="黑体" w:hAnsi="黑体" w:eastAsia="黑体" w:cs="黑体"/>
          <w:sz w:val="24"/>
          <w:szCs w:val="24"/>
          <w:u w:val="none"/>
        </w:rPr>
        <w:t>一、报价注意事项</w:t>
      </w:r>
    </w:p>
    <w:p w14:paraId="7A57D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（一）本询价含税含运费，作为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采购项目重要</w:t>
      </w:r>
      <w:r>
        <w:rPr>
          <w:rFonts w:hint="eastAsia" w:ascii="宋体" w:hAnsi="宋体" w:eastAsia="宋体" w:cs="宋体"/>
          <w:sz w:val="24"/>
          <w:szCs w:val="24"/>
          <w:u w:val="none"/>
        </w:rPr>
        <w:t>组成部分。</w:t>
      </w:r>
    </w:p>
    <w:p w14:paraId="38E239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（二）交货期限：</w:t>
      </w:r>
      <w:r>
        <w:rPr>
          <w:rFonts w:hint="eastAsia" w:ascii="宋体" w:hAnsi="宋体" w:eastAsia="宋体" w:cs="宋体"/>
          <w:sz w:val="24"/>
          <w:szCs w:val="24"/>
          <w:highlight w:val="none"/>
          <w:u w:val="none"/>
          <w:lang w:val="en-US" w:eastAsia="zh-CN"/>
        </w:rPr>
        <w:t>2025年</w:t>
      </w:r>
      <w:r>
        <w:rPr>
          <w:rFonts w:hint="eastAsia" w:ascii="宋体" w:hAnsi="宋体" w:cs="宋体"/>
          <w:sz w:val="24"/>
          <w:szCs w:val="24"/>
          <w:highlight w:val="none"/>
          <w:u w:val="none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  <w:highlight w:val="none"/>
          <w:u w:val="none"/>
          <w:lang w:val="en-US" w:eastAsia="zh-CN"/>
        </w:rPr>
        <w:t>月-2025年1</w:t>
      </w:r>
      <w:r>
        <w:rPr>
          <w:rFonts w:hint="eastAsia" w:ascii="宋体" w:hAnsi="宋体" w:cs="宋体"/>
          <w:sz w:val="24"/>
          <w:szCs w:val="24"/>
          <w:highlight w:val="none"/>
          <w:u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highlight w:val="none"/>
          <w:u w:val="none"/>
          <w:lang w:val="en-US" w:eastAsia="zh-CN"/>
        </w:rPr>
        <w:t>月。</w:t>
      </w:r>
    </w:p>
    <w:p w14:paraId="6C5936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u w:val="none"/>
        </w:rPr>
        <w:t>交货地点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及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包装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方式</w:t>
      </w:r>
      <w:r>
        <w:rPr>
          <w:rFonts w:hint="eastAsia" w:ascii="宋体" w:hAnsi="宋体" w:eastAsia="宋体" w:cs="宋体"/>
          <w:sz w:val="24"/>
          <w:szCs w:val="24"/>
          <w:u w:val="none"/>
        </w:rPr>
        <w:t>：</w:t>
      </w:r>
      <w:r>
        <w:rPr>
          <w:rFonts w:hint="eastAsia" w:ascii="宋体" w:hAnsi="宋体" w:eastAsia="宋体" w:cs="宋体"/>
          <w:sz w:val="24"/>
          <w:szCs w:val="24"/>
          <w:highlight w:val="none"/>
          <w:u w:val="none"/>
          <w:lang w:val="en-US" w:eastAsia="zh-CN"/>
        </w:rPr>
        <w:t>包装方式符合食品安全，用PE袋或者转运桶等包装运输</w:t>
      </w:r>
      <w:r>
        <w:rPr>
          <w:rFonts w:hint="eastAsia" w:ascii="宋体" w:hAnsi="宋体" w:cs="宋体"/>
          <w:sz w:val="24"/>
          <w:szCs w:val="24"/>
          <w:highlight w:val="none"/>
          <w:u w:val="none"/>
          <w:lang w:val="en-US" w:eastAsia="zh-CN"/>
        </w:rPr>
        <w:t>，由我司负责卸货</w:t>
      </w:r>
      <w:r>
        <w:rPr>
          <w:rFonts w:hint="eastAsia" w:ascii="宋体" w:hAnsi="宋体" w:eastAsia="宋体" w:cs="宋体"/>
          <w:sz w:val="24"/>
          <w:szCs w:val="24"/>
          <w:highlight w:val="none"/>
          <w:u w:val="none"/>
          <w:lang w:val="en-US" w:eastAsia="zh-CN"/>
        </w:rPr>
        <w:t>。</w:t>
      </w:r>
    </w:p>
    <w:p w14:paraId="5F0041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u w:val="none"/>
          <w:lang w:val="en-US" w:eastAsia="zh-CN"/>
        </w:rPr>
        <w:t>四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）我司联系人：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 xml:space="preserve"> 王乐东 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联系电话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 xml:space="preserve">13488968669  </w:t>
      </w:r>
    </w:p>
    <w:p w14:paraId="08A148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五</w:t>
      </w:r>
      <w:r>
        <w:rPr>
          <w:rFonts w:hint="eastAsia" w:ascii="宋体" w:hAnsi="宋体" w:eastAsia="宋体" w:cs="宋体"/>
          <w:sz w:val="24"/>
          <w:szCs w:val="24"/>
          <w:u w:val="none"/>
        </w:rPr>
        <w:t>）投标报价公司需遵守《廉政告知书》条款。</w:t>
      </w:r>
    </w:p>
    <w:p w14:paraId="5663A1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投标方对我公司工作人索贿行为有检举揭发义务；若在业务往来过程中发现有违反上述情况的行为时，应坚决抵制，同时请贵方致电我公司（电话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028-87867311</w:t>
      </w:r>
      <w:r>
        <w:rPr>
          <w:rFonts w:hint="eastAsia" w:ascii="宋体" w:hAnsi="宋体" w:eastAsia="宋体" w:cs="宋体"/>
          <w:sz w:val="24"/>
          <w:szCs w:val="24"/>
          <w:u w:val="none"/>
        </w:rPr>
        <w:t>)。</w:t>
      </w:r>
    </w:p>
    <w:p w14:paraId="6F4D263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none"/>
        </w:rPr>
        <w:t>二、询价产品的名称、规格、数量、价格等</w:t>
      </w:r>
    </w:p>
    <w:tbl>
      <w:tblPr>
        <w:tblStyle w:val="3"/>
        <w:tblpPr w:leftFromText="180" w:rightFromText="180" w:vertAnchor="text" w:horzAnchor="page" w:tblpX="1109" w:tblpY="167"/>
        <w:tblOverlap w:val="never"/>
        <w:tblW w:w="99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6"/>
        <w:gridCol w:w="974"/>
        <w:gridCol w:w="3595"/>
        <w:gridCol w:w="936"/>
        <w:gridCol w:w="848"/>
        <w:gridCol w:w="816"/>
      </w:tblGrid>
      <w:tr w14:paraId="11145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B3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物料名称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EB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9B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验收标准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9A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0B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最高</w:t>
            </w:r>
          </w:p>
          <w:p w14:paraId="53B06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限价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E5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含税</w:t>
            </w:r>
          </w:p>
          <w:p w14:paraId="6929A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</w:tc>
      </w:tr>
      <w:tr w14:paraId="1C918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B9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基础原料4号</w:t>
            </w:r>
          </w:p>
          <w:p w14:paraId="04183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（老豆瓣，发酵周期≥12月）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C1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C3D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无盐固形物≥25%，水分≤55%，盐分=15-20%。具体详见《验收标准》。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45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D9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07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5D5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99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67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税票：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>13%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>增值税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>发票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；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付款方式：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u w:val="single"/>
                <w:lang w:val="en-US" w:eastAsia="zh-CN" w:bidi="ar-SA"/>
              </w:rPr>
              <w:t>货到验收合格票到后付款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</w:tr>
      <w:tr w14:paraId="5D9A1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9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10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备注：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采购数量以招标人实际需求数量为准。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若报价高于限价，报价无效。③招标人在工作日进行询价，2次未接招标人电话的情况，以报价单上价格为最终报价。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④报价单位须提供1KG以上样品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</w:tr>
    </w:tbl>
    <w:p w14:paraId="539120C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eastAsia="宋体"/>
          <w:b w:val="0"/>
          <w:bCs w:val="0"/>
          <w:sz w:val="21"/>
          <w:szCs w:val="21"/>
          <w:lang w:val="en-US" w:eastAsia="zh-CN"/>
        </w:rPr>
      </w:pPr>
    </w:p>
    <w:p w14:paraId="4554408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5460" w:firstLineChars="2600"/>
        <w:textAlignment w:val="auto"/>
        <w:rPr>
          <w:rFonts w:hint="eastAsia" w:eastAsia="宋体"/>
          <w:b w:val="0"/>
          <w:bCs w:val="0"/>
          <w:sz w:val="21"/>
          <w:szCs w:val="21"/>
          <w:lang w:val="en-US" w:eastAsia="zh-CN"/>
        </w:rPr>
      </w:pPr>
    </w:p>
    <w:p w14:paraId="233D5EC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5460" w:firstLineChars="26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eastAsia="宋体"/>
          <w:b w:val="0"/>
          <w:bCs w:val="0"/>
          <w:sz w:val="21"/>
          <w:szCs w:val="21"/>
          <w:lang w:val="en-US" w:eastAsia="zh-CN"/>
        </w:rPr>
        <w:t>报价时间：</w:t>
      </w:r>
      <w:r>
        <w:rPr>
          <w:rFonts w:hint="eastAsia" w:eastAsia="宋体"/>
          <w:b w:val="0"/>
          <w:bCs w:val="0"/>
          <w:sz w:val="21"/>
          <w:szCs w:val="21"/>
          <w:u w:val="single"/>
          <w:lang w:val="en-US" w:eastAsia="zh-CN"/>
        </w:rPr>
        <w:t xml:space="preserve"> 2025年  月   日</w:t>
      </w:r>
    </w:p>
    <w:p w14:paraId="033BE1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三、其他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提供资料</w:t>
      </w:r>
    </w:p>
    <w:p w14:paraId="03EECBA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（若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需其他文件，如：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营业执照</w:t>
      </w:r>
      <w:r>
        <w:rPr>
          <w:rFonts w:hint="eastAsia" w:ascii="宋体" w:hAnsi="宋体" w:cs="宋体"/>
          <w:sz w:val="24"/>
          <w:szCs w:val="24"/>
          <w:u w:val="none"/>
          <w:lang w:eastAsia="zh-CN"/>
        </w:rPr>
        <w:t>、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生产许可证等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）。</w:t>
      </w:r>
    </w:p>
    <w:p w14:paraId="23B181C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 xml:space="preserve">四、报价单填写要求：请勿修改询价单中格式、内容，否则视为无效报价。 </w:t>
      </w:r>
    </w:p>
    <w:p w14:paraId="51A19223">
      <w:pPr>
        <w:spacing w:line="240" w:lineRule="auto"/>
        <w:ind w:firstLine="5040" w:firstLineChars="2100"/>
        <w:rPr>
          <w:rFonts w:hint="eastAsia" w:ascii="宋体" w:hAnsi="宋体" w:eastAsia="宋体" w:cs="宋体"/>
          <w:sz w:val="24"/>
          <w:szCs w:val="24"/>
          <w:u w:val="none"/>
        </w:rPr>
      </w:pPr>
    </w:p>
    <w:p w14:paraId="2FF0BC35">
      <w:pPr>
        <w:spacing w:line="240" w:lineRule="auto"/>
        <w:rPr>
          <w:rFonts w:hint="eastAsia" w:ascii="宋体" w:hAnsi="宋体" w:eastAsia="宋体" w:cs="宋体"/>
          <w:sz w:val="24"/>
          <w:szCs w:val="24"/>
          <w:u w:val="none"/>
        </w:rPr>
      </w:pPr>
    </w:p>
    <w:p w14:paraId="2750F245">
      <w:pPr>
        <w:spacing w:line="240" w:lineRule="auto"/>
        <w:rPr>
          <w:rFonts w:hint="eastAsia" w:ascii="宋体" w:hAnsi="宋体" w:eastAsia="宋体" w:cs="宋体"/>
          <w:sz w:val="24"/>
          <w:szCs w:val="24"/>
          <w:u w:val="none"/>
        </w:rPr>
      </w:pPr>
    </w:p>
    <w:p w14:paraId="0B0943C0">
      <w:pPr>
        <w:spacing w:line="240" w:lineRule="auto"/>
        <w:rPr>
          <w:rFonts w:hint="eastAsia" w:ascii="宋体" w:hAnsi="宋体" w:eastAsia="宋体" w:cs="宋体"/>
          <w:sz w:val="24"/>
          <w:szCs w:val="24"/>
          <w:u w:val="none"/>
        </w:rPr>
      </w:pPr>
    </w:p>
    <w:p w14:paraId="501FC172">
      <w:pPr>
        <w:spacing w:line="240" w:lineRule="auto"/>
        <w:rPr>
          <w:rFonts w:hint="eastAsia" w:ascii="宋体" w:hAnsi="宋体" w:eastAsia="宋体" w:cs="宋体"/>
          <w:sz w:val="24"/>
          <w:szCs w:val="24"/>
          <w:u w:val="none"/>
        </w:rPr>
      </w:pPr>
    </w:p>
    <w:p w14:paraId="18EB3880">
      <w:pPr>
        <w:spacing w:line="240" w:lineRule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报价单位名称（加盖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公章</w:t>
      </w:r>
      <w:r>
        <w:rPr>
          <w:rFonts w:hint="eastAsia" w:ascii="宋体" w:hAnsi="宋体" w:eastAsia="宋体" w:cs="宋体"/>
          <w:sz w:val="24"/>
          <w:szCs w:val="24"/>
          <w:u w:val="none"/>
        </w:rPr>
        <w:t xml:space="preserve">）：             </w:t>
      </w:r>
    </w:p>
    <w:p w14:paraId="68551AE3">
      <w:pPr>
        <w:spacing w:line="240" w:lineRule="auto"/>
        <w:ind w:firstLine="5520" w:firstLineChars="2300"/>
        <w:jc w:val="left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联系人：</w:t>
      </w:r>
      <w:r>
        <w:rPr>
          <w:rFonts w:hint="eastAsia" w:ascii="宋体" w:hAnsi="宋体" w:eastAsia="宋体" w:cs="宋体"/>
          <w:sz w:val="24"/>
          <w:szCs w:val="24"/>
          <w:u w:val="none"/>
        </w:rPr>
        <w:tab/>
      </w:r>
    </w:p>
    <w:p w14:paraId="2249D95E"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ab/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 xml:space="preserve">                                          </w:t>
      </w:r>
      <w:r>
        <w:rPr>
          <w:rFonts w:hint="eastAsia" w:ascii="宋体" w:hAnsi="宋体" w:eastAsia="宋体" w:cs="宋体"/>
          <w:sz w:val="24"/>
          <w:szCs w:val="24"/>
          <w:u w:val="none"/>
        </w:rPr>
        <w:t>联系电话：</w:t>
      </w:r>
      <w:r>
        <w:rPr>
          <w:rFonts w:hint="eastAsia" w:ascii="宋体" w:hAnsi="宋体" w:eastAsia="宋体" w:cs="宋体"/>
          <w:sz w:val="24"/>
          <w:szCs w:val="24"/>
          <w:u w:val="none"/>
        </w:rPr>
        <w:tab/>
      </w:r>
    </w:p>
    <w:p w14:paraId="7F054F14">
      <w:pPr>
        <w:spacing w:line="240" w:lineRule="auto"/>
        <w:ind w:firstLine="4800" w:firstLineChars="2000"/>
        <w:jc w:val="left"/>
        <w:rPr>
          <w:rFonts w:hint="eastAsia" w:ascii="宋体" w:hAnsi="宋体" w:eastAsia="宋体" w:cs="宋体"/>
          <w:sz w:val="24"/>
          <w:szCs w:val="24"/>
          <w:u w:val="none"/>
        </w:rPr>
      </w:pPr>
    </w:p>
    <w:p w14:paraId="2198F87E"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</w:p>
    <w:p w14:paraId="0F75DFAA"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bookmarkStart w:id="0" w:name="_GoBack"/>
      <w:bookmarkEnd w:id="0"/>
    </w:p>
    <w:p w14:paraId="22054A67">
      <w:pPr>
        <w:spacing w:line="240" w:lineRule="auto"/>
        <w:jc w:val="left"/>
        <w:rPr>
          <w:rFonts w:hint="eastAsia" w:ascii="宋体" w:hAnsi="宋体" w:cs="宋体"/>
          <w:sz w:val="24"/>
          <w:szCs w:val="24"/>
          <w:u w:val="none"/>
          <w:lang w:val="en-US" w:eastAsia="zh-CN"/>
        </w:rPr>
      </w:pPr>
    </w:p>
    <w:p w14:paraId="67C228C0">
      <w:pPr>
        <w:spacing w:line="240" w:lineRule="auto"/>
        <w:ind w:firstLine="2891" w:firstLineChars="1200"/>
        <w:jc w:val="left"/>
        <w:rPr>
          <w:rFonts w:hint="default" w:ascii="宋体" w:hAnsi="宋体" w:eastAsia="宋体" w:cs="宋体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u w:val="none"/>
          <w:lang w:val="en-US" w:eastAsia="zh-CN"/>
        </w:rPr>
        <w:t>基础原料4号验收标准</w:t>
      </w:r>
    </w:p>
    <w:p w14:paraId="5D4F4717">
      <w:pPr>
        <w:spacing w:beforeLines="50" w:afterLines="50" w:line="240" w:lineRule="auto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18"/>
          <w:szCs w:val="18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18"/>
          <w:szCs w:val="18"/>
          <w:lang w:val="en-US" w:eastAsia="zh-CN"/>
        </w:rPr>
        <w:t>一、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18"/>
          <w:szCs w:val="18"/>
        </w:rPr>
        <w:t>运输、包装、出厂检验报告要求</w:t>
      </w:r>
    </w:p>
    <w:tbl>
      <w:tblPr>
        <w:tblStyle w:val="3"/>
        <w:tblW w:w="962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780"/>
        <w:gridCol w:w="4453"/>
        <w:gridCol w:w="1204"/>
        <w:gridCol w:w="2771"/>
      </w:tblGrid>
      <w:tr w14:paraId="74F824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7998A"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71EE3"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color w:val="auto"/>
                <w:sz w:val="18"/>
                <w:szCs w:val="18"/>
              </w:rPr>
              <w:t>项目</w:t>
            </w:r>
          </w:p>
        </w:tc>
        <w:tc>
          <w:tcPr>
            <w:tcW w:w="4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66DAE"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color w:val="auto"/>
                <w:sz w:val="18"/>
                <w:szCs w:val="18"/>
              </w:rPr>
              <w:t>要求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6EDF4"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color w:val="auto"/>
                <w:sz w:val="18"/>
                <w:szCs w:val="18"/>
              </w:rPr>
              <w:t>检测频率及方法</w:t>
            </w:r>
          </w:p>
        </w:tc>
        <w:tc>
          <w:tcPr>
            <w:tcW w:w="2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0BB9"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color w:val="auto"/>
                <w:sz w:val="18"/>
                <w:szCs w:val="18"/>
              </w:rPr>
              <w:t>处罚方式及标准</w:t>
            </w:r>
          </w:p>
        </w:tc>
      </w:tr>
      <w:tr w14:paraId="451D7F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1B000"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686F5"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color w:val="auto"/>
                <w:sz w:val="18"/>
                <w:szCs w:val="18"/>
              </w:rPr>
              <w:t>运输车辆</w:t>
            </w:r>
          </w:p>
        </w:tc>
        <w:tc>
          <w:tcPr>
            <w:tcW w:w="4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AECE5">
            <w:pPr>
              <w:spacing w:line="240" w:lineRule="auto"/>
              <w:rPr>
                <w:rFonts w:hint="eastAsia" w:ascii="仿宋" w:hAnsi="仿宋" w:eastAsia="仿宋" w:cs="仿宋"/>
                <w:bCs/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color w:val="auto"/>
                <w:sz w:val="18"/>
                <w:szCs w:val="18"/>
              </w:rPr>
              <w:t>1）运输车辆车厢应保持清洁、卫生、无泥沙；</w:t>
            </w:r>
          </w:p>
          <w:p w14:paraId="61E625E2">
            <w:pPr>
              <w:spacing w:line="240" w:lineRule="auto"/>
              <w:rPr>
                <w:rFonts w:hint="eastAsia" w:ascii="仿宋" w:hAnsi="仿宋" w:eastAsia="仿宋" w:cs="仿宋"/>
                <w:bCs/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color w:val="auto"/>
                <w:sz w:val="18"/>
                <w:szCs w:val="18"/>
              </w:rPr>
              <w:t>2）不得与有碍食品安全和卫生的物品（如家禽、家畜、农药等）混运；</w:t>
            </w:r>
          </w:p>
          <w:p w14:paraId="4B1143C1">
            <w:pPr>
              <w:spacing w:line="240" w:lineRule="auto"/>
              <w:rPr>
                <w:rFonts w:hint="eastAsia" w:ascii="仿宋" w:hAnsi="仿宋" w:eastAsia="仿宋" w:cs="仿宋"/>
                <w:bCs/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color w:val="auto"/>
                <w:sz w:val="18"/>
                <w:szCs w:val="18"/>
              </w:rPr>
              <w:t>3）运输途中有防护措施，防止产品被污染（防异物、防渗漏、防虫害、防雨水等情况）；</w:t>
            </w:r>
          </w:p>
          <w:p w14:paraId="303AB9A9">
            <w:pPr>
              <w:spacing w:line="240" w:lineRule="auto"/>
              <w:rPr>
                <w:rFonts w:hint="eastAsia" w:ascii="仿宋" w:hAnsi="仿宋" w:eastAsia="仿宋" w:cs="仿宋"/>
                <w:bCs/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color w:val="auto"/>
                <w:sz w:val="18"/>
                <w:szCs w:val="18"/>
              </w:rPr>
              <w:t>4）运输包装物及附件（如转运桶），卸完货后应返回到送货车辆过磅除皮，相关物料在厂区外自行处理；</w:t>
            </w:r>
          </w:p>
          <w:p w14:paraId="4C99B2B3">
            <w:pPr>
              <w:spacing w:line="240" w:lineRule="auto"/>
              <w:rPr>
                <w:rFonts w:hint="eastAsia" w:ascii="仿宋" w:hAnsi="仿宋" w:eastAsia="仿宋" w:cs="仿宋"/>
                <w:bCs/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color w:val="auto"/>
                <w:sz w:val="18"/>
                <w:szCs w:val="18"/>
              </w:rPr>
              <w:t>5）除皮过磅时严禁水箱放水。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80663"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color w:val="auto"/>
                <w:sz w:val="18"/>
                <w:szCs w:val="18"/>
              </w:rPr>
              <w:t>每批，目测</w:t>
            </w:r>
          </w:p>
        </w:tc>
        <w:tc>
          <w:tcPr>
            <w:tcW w:w="2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EED6F">
            <w:pPr>
              <w:spacing w:line="240" w:lineRule="auto"/>
              <w:jc w:val="left"/>
              <w:rPr>
                <w:rFonts w:hint="eastAsia" w:ascii="仿宋" w:hAnsi="仿宋" w:eastAsia="仿宋" w:cs="仿宋"/>
                <w:bCs/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color w:val="auto"/>
                <w:sz w:val="18"/>
                <w:szCs w:val="18"/>
              </w:rPr>
              <w:t>1）不符合第1—3条的，予以拒收，同时按500元/车的标准给于罚款；</w:t>
            </w:r>
          </w:p>
          <w:p w14:paraId="67576CC2">
            <w:pPr>
              <w:spacing w:line="240" w:lineRule="auto"/>
              <w:jc w:val="left"/>
              <w:rPr>
                <w:rFonts w:hint="eastAsia" w:ascii="仿宋" w:hAnsi="仿宋" w:eastAsia="仿宋" w:cs="仿宋"/>
                <w:bCs/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color w:val="auto"/>
                <w:sz w:val="18"/>
                <w:szCs w:val="18"/>
              </w:rPr>
              <w:t>2）不符合第4条的，加上包装及运输附件后二次过磅；</w:t>
            </w:r>
          </w:p>
          <w:p w14:paraId="3744E7B3">
            <w:pPr>
              <w:spacing w:line="240" w:lineRule="auto"/>
              <w:jc w:val="left"/>
              <w:rPr>
                <w:rFonts w:hint="eastAsia" w:ascii="仿宋" w:hAnsi="仿宋" w:eastAsia="仿宋" w:cs="仿宋"/>
                <w:bCs/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color w:val="auto"/>
                <w:sz w:val="18"/>
                <w:szCs w:val="18"/>
              </w:rPr>
              <w:t>3）不符合第5条的，采取将水箱灌满水后二次过磅除皮，并处罚款1000元。</w:t>
            </w:r>
          </w:p>
        </w:tc>
      </w:tr>
      <w:tr w14:paraId="0F625F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7E0EC"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color w:val="auto"/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1F6C1"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color w:val="auto"/>
                <w:sz w:val="18"/>
                <w:szCs w:val="18"/>
              </w:rPr>
              <w:t>包装</w:t>
            </w:r>
          </w:p>
        </w:tc>
        <w:tc>
          <w:tcPr>
            <w:tcW w:w="4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EAFEF">
            <w:pPr>
              <w:numPr>
                <w:ilvl w:val="0"/>
                <w:numId w:val="1"/>
              </w:numPr>
              <w:spacing w:line="240" w:lineRule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</w:rPr>
              <w:t>产品包装可采用袋装、桶装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  <w:lang w:eastAsia="zh-CN"/>
              </w:rPr>
              <w:t>、罐车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</w:rPr>
              <w:t>，与产品直接接触部分不应给产品带来食品安全隐患，塑料材质的包装需提供包装物塑化剂检测报告；</w:t>
            </w:r>
          </w:p>
          <w:p w14:paraId="3B1805D8">
            <w:pPr>
              <w:numPr>
                <w:ilvl w:val="0"/>
                <w:numId w:val="1"/>
              </w:numPr>
              <w:spacing w:line="240" w:lineRule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</w:rPr>
              <w:t>包装材料和器具应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  <w:lang w:eastAsia="zh-CN"/>
              </w:rPr>
              <w:t>符合食品安全要求，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</w:rPr>
              <w:t>干净、无异味、无破损，无异物夹带隐患。</w:t>
            </w:r>
          </w:p>
          <w:p w14:paraId="4636F085">
            <w:pPr>
              <w:numPr>
                <w:ilvl w:val="0"/>
                <w:numId w:val="1"/>
              </w:numPr>
              <w:spacing w:line="240" w:lineRule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  <w:lang w:val="en-US" w:eastAsia="zh-CN"/>
              </w:rPr>
              <w:t>采用散装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  <w:lang w:eastAsia="zh-CN"/>
              </w:rPr>
              <w:t>罐车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  <w:lang w:val="en-US" w:eastAsia="zh-CN"/>
              </w:rPr>
              <w:t>包装容器，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  <w:lang w:eastAsia="zh-CN"/>
              </w:rPr>
              <w:t>进料口、出料口应有对应的签封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  <w:lang w:val="en-US" w:eastAsia="zh-CN"/>
              </w:rPr>
              <w:t>，并提供前三车车载货物、清洗证明，所有运输容器须提供对应产品标签。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D3DA6"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color w:val="auto"/>
                <w:sz w:val="18"/>
                <w:szCs w:val="18"/>
              </w:rPr>
              <w:t>每批，目测、鼻嗅</w:t>
            </w:r>
          </w:p>
        </w:tc>
        <w:tc>
          <w:tcPr>
            <w:tcW w:w="2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66930">
            <w:pPr>
              <w:spacing w:line="240" w:lineRule="auto"/>
              <w:jc w:val="left"/>
              <w:rPr>
                <w:rFonts w:hint="eastAsia" w:ascii="仿宋" w:hAnsi="仿宋" w:eastAsia="仿宋" w:cs="仿宋"/>
                <w:bCs/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color w:val="auto"/>
                <w:sz w:val="18"/>
                <w:szCs w:val="18"/>
              </w:rPr>
              <w:t>包装不符合标准要求，并存在食品安全隐患的，予以拒收。</w:t>
            </w:r>
          </w:p>
        </w:tc>
      </w:tr>
      <w:tr w14:paraId="660F4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2E110"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color w:val="auto"/>
                <w:sz w:val="18"/>
                <w:szCs w:val="18"/>
              </w:rPr>
              <w:t>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F08DF"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color w:val="auto"/>
                <w:sz w:val="18"/>
                <w:szCs w:val="18"/>
              </w:rPr>
              <w:t>出厂检验报告</w:t>
            </w:r>
          </w:p>
        </w:tc>
        <w:tc>
          <w:tcPr>
            <w:tcW w:w="4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F36DA">
            <w:pPr>
              <w:spacing w:line="240" w:lineRule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</w:rPr>
              <w:t>每一批需提供合格检验报告，检验报告项目包含：产品名称、配料、生产日期、规格、数量、感官（色泽、气味、口感）、水分、食盐、总酸、氨基酸态氮、无盐固形物、大肠菌群、含沙量、杂质。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E0C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bCs/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</w:rPr>
              <w:t>每批，对照检测项目及结果核查。</w:t>
            </w:r>
          </w:p>
        </w:tc>
        <w:tc>
          <w:tcPr>
            <w:tcW w:w="2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33FA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240" w:lineRule="auto"/>
              <w:outlineLvl w:val="9"/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</w:rPr>
              <w:t>1）检验报告不符合要求，每次罚款100元。</w:t>
            </w:r>
          </w:p>
          <w:p w14:paraId="4BD6881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240" w:lineRule="auto"/>
              <w:ind w:left="0" w:leftChars="0" w:firstLine="0" w:firstLineChars="0"/>
              <w:outlineLvl w:val="9"/>
              <w:rPr>
                <w:rFonts w:hint="eastAsia" w:ascii="仿宋" w:hAnsi="仿宋" w:eastAsia="仿宋" w:cs="仿宋"/>
                <w:bCs/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2）</w:t>
            </w: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</w:rPr>
              <w:t>检验报告，</w:t>
            </w: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  <w:lang w:eastAsia="zh-CN"/>
              </w:rPr>
              <w:t>拒</w:t>
            </w: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  <w:highlight w:val="none"/>
              </w:rPr>
              <w:t>收。</w:t>
            </w:r>
          </w:p>
        </w:tc>
      </w:tr>
    </w:tbl>
    <w:p w14:paraId="14D5567E">
      <w:pPr>
        <w:spacing w:line="240" w:lineRule="auto"/>
        <w:rPr>
          <w:rFonts w:hint="eastAsia" w:ascii="仿宋" w:hAnsi="仿宋" w:eastAsia="仿宋" w:cs="仿宋"/>
          <w:b/>
          <w:i w:val="0"/>
          <w:iCs w:val="0"/>
          <w:color w:val="auto"/>
          <w:sz w:val="18"/>
          <w:szCs w:val="18"/>
        </w:rPr>
      </w:pPr>
    </w:p>
    <w:p w14:paraId="155C50D5">
      <w:pPr>
        <w:spacing w:beforeLines="50" w:afterLines="50" w:line="240" w:lineRule="auto"/>
        <w:rPr>
          <w:rFonts w:hint="eastAsia" w:ascii="仿宋" w:hAnsi="仿宋" w:eastAsia="仿宋" w:cs="仿宋"/>
          <w:b w:val="0"/>
          <w:bCs/>
          <w:i w:val="0"/>
          <w:iCs w:val="0"/>
          <w:color w:val="auto"/>
          <w:sz w:val="18"/>
          <w:szCs w:val="18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olor w:val="auto"/>
          <w:sz w:val="18"/>
          <w:szCs w:val="18"/>
          <w:lang w:val="en-US" w:eastAsia="zh-CN"/>
        </w:rPr>
        <w:t>二</w:t>
      </w:r>
      <w:r>
        <w:rPr>
          <w:rFonts w:hint="eastAsia" w:ascii="仿宋" w:hAnsi="仿宋" w:eastAsia="仿宋" w:cs="仿宋"/>
          <w:b w:val="0"/>
          <w:bCs/>
          <w:i w:val="0"/>
          <w:iCs w:val="0"/>
          <w:color w:val="auto"/>
          <w:sz w:val="18"/>
          <w:szCs w:val="18"/>
        </w:rPr>
        <w:t>、</w:t>
      </w:r>
      <w:r>
        <w:rPr>
          <w:rFonts w:hint="eastAsia" w:ascii="仿宋" w:hAnsi="仿宋" w:eastAsia="仿宋" w:cs="仿宋"/>
          <w:b w:val="0"/>
          <w:bCs/>
          <w:i w:val="0"/>
          <w:iCs w:val="0"/>
          <w:color w:val="auto"/>
          <w:sz w:val="18"/>
          <w:szCs w:val="18"/>
          <w:lang w:val="en-US" w:eastAsia="zh-CN"/>
        </w:rPr>
        <w:t>理化指标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1561"/>
        <w:gridCol w:w="1335"/>
        <w:gridCol w:w="1605"/>
        <w:gridCol w:w="1290"/>
        <w:gridCol w:w="2180"/>
      </w:tblGrid>
      <w:tr w14:paraId="7EB02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69" w:hRule="exact"/>
          <w:jc w:val="center"/>
        </w:trPr>
        <w:tc>
          <w:tcPr>
            <w:tcW w:w="1561" w:type="dxa"/>
            <w:vAlign w:val="center"/>
          </w:tcPr>
          <w:p w14:paraId="7C72DB1E">
            <w:pPr>
              <w:autoSpaceDE w:val="0"/>
              <w:autoSpaceDN w:val="0"/>
              <w:adjustRightInd w:val="0"/>
              <w:spacing w:line="240" w:lineRule="auto"/>
              <w:ind w:left="15" w:right="108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</w:rPr>
              <w:t>项目</w:t>
            </w:r>
          </w:p>
        </w:tc>
        <w:tc>
          <w:tcPr>
            <w:tcW w:w="1335" w:type="dxa"/>
            <w:vAlign w:val="center"/>
          </w:tcPr>
          <w:p w14:paraId="1A184DB9">
            <w:pPr>
              <w:autoSpaceDE w:val="0"/>
              <w:autoSpaceDN w:val="0"/>
              <w:adjustRightInd w:val="0"/>
              <w:spacing w:line="240" w:lineRule="auto"/>
              <w:ind w:left="15" w:right="108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</w:rPr>
              <w:t>接收标准</w:t>
            </w:r>
          </w:p>
        </w:tc>
        <w:tc>
          <w:tcPr>
            <w:tcW w:w="1605" w:type="dxa"/>
            <w:vAlign w:val="center"/>
          </w:tcPr>
          <w:p w14:paraId="5EEBA014">
            <w:pPr>
              <w:autoSpaceDE w:val="0"/>
              <w:autoSpaceDN w:val="0"/>
              <w:adjustRightInd w:val="0"/>
              <w:spacing w:line="240" w:lineRule="auto"/>
              <w:ind w:left="15" w:right="108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</w:rPr>
              <w:t>拒收标准</w:t>
            </w:r>
          </w:p>
        </w:tc>
        <w:tc>
          <w:tcPr>
            <w:tcW w:w="1290" w:type="dxa"/>
            <w:vAlign w:val="center"/>
          </w:tcPr>
          <w:p w14:paraId="5BE6A3A8">
            <w:pPr>
              <w:autoSpaceDE w:val="0"/>
              <w:autoSpaceDN w:val="0"/>
              <w:adjustRightInd w:val="0"/>
              <w:spacing w:line="240" w:lineRule="auto"/>
              <w:ind w:left="15" w:right="108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</w:rPr>
              <w:t>检验频率</w:t>
            </w:r>
          </w:p>
        </w:tc>
        <w:tc>
          <w:tcPr>
            <w:tcW w:w="2180" w:type="dxa"/>
            <w:vAlign w:val="center"/>
          </w:tcPr>
          <w:p w14:paraId="1344C103">
            <w:pPr>
              <w:autoSpaceDE w:val="0"/>
              <w:autoSpaceDN w:val="0"/>
              <w:adjustRightInd w:val="0"/>
              <w:spacing w:line="240" w:lineRule="auto"/>
              <w:ind w:left="15" w:right="108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</w:rPr>
              <w:t>检验方法</w:t>
            </w:r>
          </w:p>
        </w:tc>
      </w:tr>
      <w:tr w14:paraId="51A8F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70" w:hRule="atLeast"/>
          <w:jc w:val="center"/>
        </w:trPr>
        <w:tc>
          <w:tcPr>
            <w:tcW w:w="1561" w:type="dxa"/>
            <w:vAlign w:val="center"/>
          </w:tcPr>
          <w:p w14:paraId="5EC6103E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</w:rPr>
              <w:t>水分/(g/100g)</w:t>
            </w:r>
          </w:p>
        </w:tc>
        <w:tc>
          <w:tcPr>
            <w:tcW w:w="1335" w:type="dxa"/>
            <w:vAlign w:val="center"/>
          </w:tcPr>
          <w:p w14:paraId="21C15E40">
            <w:pPr>
              <w:spacing w:line="240" w:lineRule="auto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highlight w:val="none"/>
              </w:rPr>
              <w:t>≤</w:t>
            </w: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highlight w:val="none"/>
                <w:lang w:val="en-US" w:eastAsia="zh-CN"/>
              </w:rPr>
              <w:t>55</w:t>
            </w:r>
          </w:p>
        </w:tc>
        <w:tc>
          <w:tcPr>
            <w:tcW w:w="1605" w:type="dxa"/>
            <w:vMerge w:val="restart"/>
            <w:vAlign w:val="center"/>
          </w:tcPr>
          <w:p w14:paraId="476FC35B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lang w:val="en-US" w:eastAsia="zh-CN"/>
              </w:rPr>
              <w:t>超过接受标准</w:t>
            </w:r>
          </w:p>
        </w:tc>
        <w:tc>
          <w:tcPr>
            <w:tcW w:w="1290" w:type="dxa"/>
            <w:vAlign w:val="center"/>
          </w:tcPr>
          <w:p w14:paraId="40135CB5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</w:rPr>
              <w:t>批检</w:t>
            </w:r>
          </w:p>
        </w:tc>
        <w:tc>
          <w:tcPr>
            <w:tcW w:w="2180" w:type="dxa"/>
            <w:vAlign w:val="center"/>
          </w:tcPr>
          <w:p w14:paraId="2740E32B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</w:rPr>
              <w:t>GB5009.3直接干燥法</w:t>
            </w:r>
          </w:p>
        </w:tc>
      </w:tr>
      <w:tr w14:paraId="51FB8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9" w:hRule="exact"/>
          <w:jc w:val="center"/>
        </w:trPr>
        <w:tc>
          <w:tcPr>
            <w:tcW w:w="1561" w:type="dxa"/>
            <w:vAlign w:val="center"/>
          </w:tcPr>
          <w:p w14:paraId="3E29C1E5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</w:rPr>
              <w:t>盐分/(g/100g)</w:t>
            </w:r>
          </w:p>
        </w:tc>
        <w:tc>
          <w:tcPr>
            <w:tcW w:w="1335" w:type="dxa"/>
            <w:vAlign w:val="center"/>
          </w:tcPr>
          <w:p w14:paraId="5D9DE7B3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highlight w:val="none"/>
                <w:lang w:val="en-US" w:eastAsia="zh-CN"/>
              </w:rPr>
              <w:t>15-20</w:t>
            </w:r>
          </w:p>
        </w:tc>
        <w:tc>
          <w:tcPr>
            <w:tcW w:w="1605" w:type="dxa"/>
            <w:vMerge w:val="continue"/>
            <w:vAlign w:val="center"/>
          </w:tcPr>
          <w:p w14:paraId="2887D632">
            <w:pPr>
              <w:spacing w:line="240" w:lineRule="auto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lang w:val="en-US"/>
              </w:rPr>
            </w:pPr>
          </w:p>
        </w:tc>
        <w:tc>
          <w:tcPr>
            <w:tcW w:w="1290" w:type="dxa"/>
            <w:vAlign w:val="center"/>
          </w:tcPr>
          <w:p w14:paraId="364A1290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</w:rPr>
              <w:t>批检</w:t>
            </w:r>
          </w:p>
        </w:tc>
        <w:tc>
          <w:tcPr>
            <w:tcW w:w="2180" w:type="dxa"/>
            <w:vAlign w:val="center"/>
          </w:tcPr>
          <w:p w14:paraId="14724DED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</w:rPr>
              <w:t>GB/T5009.40</w:t>
            </w:r>
          </w:p>
        </w:tc>
      </w:tr>
      <w:tr w14:paraId="0C8A7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35" w:hRule="exact"/>
          <w:jc w:val="center"/>
        </w:trPr>
        <w:tc>
          <w:tcPr>
            <w:tcW w:w="1561" w:type="dxa"/>
            <w:vAlign w:val="center"/>
          </w:tcPr>
          <w:p w14:paraId="73793B59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</w:rPr>
              <w:t>无盐固形物/（g/100g）</w:t>
            </w:r>
          </w:p>
        </w:tc>
        <w:tc>
          <w:tcPr>
            <w:tcW w:w="1335" w:type="dxa"/>
            <w:vAlign w:val="center"/>
          </w:tcPr>
          <w:p w14:paraId="555F3CEC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lang w:val="en-US" w:eastAsia="zh-CN"/>
              </w:rPr>
              <w:t>25</w:t>
            </w:r>
          </w:p>
        </w:tc>
        <w:tc>
          <w:tcPr>
            <w:tcW w:w="1605" w:type="dxa"/>
            <w:vMerge w:val="continue"/>
            <w:vAlign w:val="center"/>
          </w:tcPr>
          <w:p w14:paraId="792079B7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1290" w:type="dxa"/>
            <w:vAlign w:val="center"/>
          </w:tcPr>
          <w:p w14:paraId="0166B93C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</w:rPr>
              <w:t>批检</w:t>
            </w:r>
          </w:p>
        </w:tc>
        <w:tc>
          <w:tcPr>
            <w:tcW w:w="2180" w:type="dxa"/>
            <w:vAlign w:val="center"/>
          </w:tcPr>
          <w:p w14:paraId="62999B08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</w:rPr>
              <w:t>计算值，样品中除去水分、食盐含量的值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lang w:eastAsia="zh-CN"/>
              </w:rPr>
              <w:t>。</w:t>
            </w:r>
          </w:p>
        </w:tc>
      </w:tr>
      <w:tr w14:paraId="7D6A0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90" w:hRule="exact"/>
          <w:jc w:val="center"/>
        </w:trPr>
        <w:tc>
          <w:tcPr>
            <w:tcW w:w="1561" w:type="dxa"/>
            <w:vAlign w:val="center"/>
          </w:tcPr>
          <w:p w14:paraId="014B8BEC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</w:rPr>
              <w:t>总酸（以乳酸计）/(g/100g</w:t>
            </w:r>
          </w:p>
        </w:tc>
        <w:tc>
          <w:tcPr>
            <w:tcW w:w="1335" w:type="dxa"/>
            <w:vAlign w:val="center"/>
          </w:tcPr>
          <w:p w14:paraId="1FD09A91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</w:rPr>
              <w:t>≤2.0</w:t>
            </w:r>
          </w:p>
        </w:tc>
        <w:tc>
          <w:tcPr>
            <w:tcW w:w="1605" w:type="dxa"/>
            <w:vMerge w:val="continue"/>
            <w:vAlign w:val="center"/>
          </w:tcPr>
          <w:p w14:paraId="5AB89F2C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90" w:type="dxa"/>
            <w:vAlign w:val="center"/>
          </w:tcPr>
          <w:p w14:paraId="6653EAB4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</w:rPr>
              <w:t>批检</w:t>
            </w:r>
          </w:p>
        </w:tc>
        <w:tc>
          <w:tcPr>
            <w:tcW w:w="2180" w:type="dxa"/>
            <w:vAlign w:val="center"/>
          </w:tcPr>
          <w:p w14:paraId="676E3706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</w:rPr>
              <w:t>GB/T5009.40</w:t>
            </w:r>
          </w:p>
        </w:tc>
      </w:tr>
      <w:tr w14:paraId="24632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60" w:hRule="atLeast"/>
          <w:jc w:val="center"/>
        </w:trPr>
        <w:tc>
          <w:tcPr>
            <w:tcW w:w="1561" w:type="dxa"/>
            <w:vAlign w:val="center"/>
          </w:tcPr>
          <w:p w14:paraId="00BFFDE3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</w:rPr>
              <w:t>氨基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lang w:val="en-US" w:eastAsia="zh-CN"/>
              </w:rPr>
              <w:t>酸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</w:rPr>
              <w:t>态氮（以氮计/(g/100g)</w:t>
            </w:r>
          </w:p>
        </w:tc>
        <w:tc>
          <w:tcPr>
            <w:tcW w:w="1335" w:type="dxa"/>
            <w:vAlign w:val="center"/>
          </w:tcPr>
          <w:p w14:paraId="37EB5E7C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</w:rPr>
              <w:t>≥0.25</w:t>
            </w:r>
          </w:p>
        </w:tc>
        <w:tc>
          <w:tcPr>
            <w:tcW w:w="1605" w:type="dxa"/>
            <w:vMerge w:val="continue"/>
            <w:vAlign w:val="center"/>
          </w:tcPr>
          <w:p w14:paraId="6773CBD3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 w14:paraId="13E9F263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</w:rPr>
              <w:t>批检</w:t>
            </w:r>
          </w:p>
        </w:tc>
        <w:tc>
          <w:tcPr>
            <w:tcW w:w="2180" w:type="dxa"/>
            <w:vAlign w:val="center"/>
          </w:tcPr>
          <w:p w14:paraId="01A4B8C1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</w:rPr>
              <w:t>GB5009.235</w:t>
            </w:r>
          </w:p>
        </w:tc>
      </w:tr>
    </w:tbl>
    <w:p w14:paraId="16B08CC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 w:firstLine="0"/>
        <w:textAlignment w:val="auto"/>
        <w:rPr>
          <w:rFonts w:hint="eastAsia" w:ascii="仿宋" w:hAnsi="仿宋" w:eastAsia="仿宋" w:cs="仿宋"/>
          <w:b/>
          <w:bCs/>
          <w:i w:val="0"/>
          <w:iCs w:val="0"/>
          <w:color w:val="auto"/>
          <w:sz w:val="18"/>
          <w:szCs w:val="18"/>
          <w:highlight w:val="none"/>
          <w:lang w:eastAsia="zh-CN"/>
        </w:rPr>
      </w:pPr>
    </w:p>
    <w:p w14:paraId="0789985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18"/>
          <w:szCs w:val="18"/>
          <w:highlight w:val="none"/>
        </w:rPr>
      </w:pPr>
      <w:r>
        <w:rPr>
          <w:rFonts w:hint="eastAsia" w:ascii="仿宋" w:hAnsi="仿宋" w:eastAsia="仿宋" w:cs="仿宋"/>
          <w:color w:val="auto"/>
          <w:sz w:val="18"/>
          <w:szCs w:val="18"/>
          <w:highlight w:val="none"/>
        </w:rPr>
        <w:t>说明：无盐固形物判定方式及应用</w:t>
      </w:r>
      <w:r>
        <w:rPr>
          <w:rFonts w:hint="eastAsia" w:ascii="仿宋" w:hAnsi="仿宋" w:eastAsia="仿宋" w:cs="仿宋"/>
          <w:color w:val="auto"/>
          <w:sz w:val="18"/>
          <w:szCs w:val="1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18"/>
          <w:szCs w:val="18"/>
          <w:highlight w:val="none"/>
        </w:rPr>
        <w:t>当水分、食盐含量指标中任有一项不符合允收</w:t>
      </w:r>
      <w:r>
        <w:rPr>
          <w:rFonts w:hint="eastAsia" w:ascii="仿宋" w:hAnsi="仿宋" w:eastAsia="仿宋" w:cs="仿宋"/>
          <w:color w:val="auto"/>
          <w:sz w:val="18"/>
          <w:szCs w:val="18"/>
          <w:highlight w:val="none"/>
          <w:lang w:val="en-US" w:eastAsia="zh-CN"/>
        </w:rPr>
        <w:t>标准</w:t>
      </w:r>
      <w:r>
        <w:rPr>
          <w:rFonts w:hint="eastAsia" w:ascii="仿宋" w:hAnsi="仿宋" w:eastAsia="仿宋" w:cs="仿宋"/>
          <w:color w:val="auto"/>
          <w:sz w:val="18"/>
          <w:szCs w:val="18"/>
          <w:highlight w:val="none"/>
        </w:rPr>
        <w:t>，但符合让步接受</w:t>
      </w:r>
      <w:r>
        <w:rPr>
          <w:rFonts w:hint="eastAsia" w:ascii="仿宋" w:hAnsi="仿宋" w:eastAsia="仿宋" w:cs="仿宋"/>
          <w:color w:val="auto"/>
          <w:sz w:val="18"/>
          <w:szCs w:val="18"/>
          <w:highlight w:val="none"/>
          <w:lang w:val="en-US" w:eastAsia="zh-CN"/>
        </w:rPr>
        <w:t>标准</w:t>
      </w:r>
      <w:r>
        <w:rPr>
          <w:rFonts w:hint="eastAsia" w:ascii="仿宋" w:hAnsi="仿宋" w:eastAsia="仿宋" w:cs="仿宋"/>
          <w:color w:val="auto"/>
          <w:sz w:val="18"/>
          <w:szCs w:val="18"/>
          <w:highlight w:val="none"/>
        </w:rPr>
        <w:t>时，以无盐固形物做为最终判定标准，判断及处罚方式如下：</w:t>
      </w:r>
    </w:p>
    <w:p w14:paraId="1625A98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18"/>
          <w:szCs w:val="18"/>
          <w:highlight w:val="none"/>
        </w:rPr>
      </w:pPr>
      <w:r>
        <w:rPr>
          <w:rFonts w:hint="eastAsia" w:ascii="仿宋" w:hAnsi="仿宋" w:eastAsia="仿宋" w:cs="仿宋"/>
          <w:color w:val="auto"/>
          <w:sz w:val="18"/>
          <w:szCs w:val="18"/>
          <w:highlight w:val="none"/>
        </w:rPr>
        <w:t>（1）若无盐固形物符合允收</w:t>
      </w:r>
      <w:r>
        <w:rPr>
          <w:rFonts w:hint="eastAsia" w:ascii="仿宋" w:hAnsi="仿宋" w:eastAsia="仿宋" w:cs="仿宋"/>
          <w:color w:val="auto"/>
          <w:sz w:val="18"/>
          <w:szCs w:val="18"/>
          <w:highlight w:val="none"/>
          <w:lang w:val="en-US" w:eastAsia="zh-CN"/>
        </w:rPr>
        <w:t>标准</w:t>
      </w:r>
      <w:r>
        <w:rPr>
          <w:rFonts w:hint="eastAsia" w:ascii="仿宋" w:hAnsi="仿宋" w:eastAsia="仿宋" w:cs="仿宋"/>
          <w:color w:val="auto"/>
          <w:sz w:val="18"/>
          <w:szCs w:val="18"/>
          <w:highlight w:val="none"/>
        </w:rPr>
        <w:t>，则视为合格，对水分、盐分的不合格项不做处罚；</w:t>
      </w:r>
    </w:p>
    <w:p w14:paraId="790827E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18"/>
          <w:szCs w:val="18"/>
          <w:highlight w:val="none"/>
        </w:rPr>
      </w:pPr>
      <w:r>
        <w:rPr>
          <w:rFonts w:hint="eastAsia" w:ascii="仿宋" w:hAnsi="仿宋" w:eastAsia="仿宋" w:cs="仿宋"/>
          <w:color w:val="auto"/>
          <w:sz w:val="18"/>
          <w:szCs w:val="18"/>
          <w:highlight w:val="none"/>
        </w:rPr>
        <w:t>（2）若无盐固形物不符合允收</w:t>
      </w:r>
      <w:r>
        <w:rPr>
          <w:rFonts w:hint="eastAsia" w:ascii="仿宋" w:hAnsi="仿宋" w:eastAsia="仿宋" w:cs="仿宋"/>
          <w:color w:val="auto"/>
          <w:sz w:val="18"/>
          <w:szCs w:val="18"/>
          <w:highlight w:val="none"/>
          <w:lang w:val="en-US" w:eastAsia="zh-CN"/>
        </w:rPr>
        <w:t>标准</w:t>
      </w:r>
      <w:r>
        <w:rPr>
          <w:rFonts w:hint="eastAsia" w:ascii="仿宋" w:hAnsi="仿宋" w:eastAsia="仿宋" w:cs="仿宋"/>
          <w:color w:val="auto"/>
          <w:sz w:val="18"/>
          <w:szCs w:val="18"/>
          <w:highlight w:val="none"/>
        </w:rPr>
        <w:t>，但符合让步接收</w:t>
      </w:r>
      <w:r>
        <w:rPr>
          <w:rFonts w:hint="eastAsia" w:ascii="仿宋" w:hAnsi="仿宋" w:eastAsia="仿宋" w:cs="仿宋"/>
          <w:color w:val="auto"/>
          <w:sz w:val="18"/>
          <w:szCs w:val="18"/>
          <w:highlight w:val="none"/>
          <w:lang w:val="en-US" w:eastAsia="zh-CN"/>
        </w:rPr>
        <w:t>标准</w:t>
      </w:r>
      <w:r>
        <w:rPr>
          <w:rFonts w:hint="eastAsia" w:ascii="仿宋" w:hAnsi="仿宋" w:eastAsia="仿宋" w:cs="仿宋"/>
          <w:color w:val="auto"/>
          <w:sz w:val="18"/>
          <w:szCs w:val="18"/>
          <w:highlight w:val="none"/>
        </w:rPr>
        <w:t>的，以无盐固形物实际达成率为基准进行扣款处罚</w:t>
      </w:r>
      <w:r>
        <w:rPr>
          <w:rFonts w:hint="eastAsia" w:ascii="仿宋" w:hAnsi="仿宋" w:eastAsia="仿宋" w:cs="仿宋"/>
          <w:color w:val="auto"/>
          <w:sz w:val="18"/>
          <w:szCs w:val="1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18"/>
          <w:szCs w:val="18"/>
          <w:highlight w:val="none"/>
        </w:rPr>
        <w:t>不再对超标水分、盐份另行处罚</w:t>
      </w:r>
      <w:r>
        <w:rPr>
          <w:rFonts w:hint="eastAsia" w:ascii="仿宋" w:hAnsi="仿宋" w:eastAsia="仿宋" w:cs="仿宋"/>
          <w:color w:val="auto"/>
          <w:sz w:val="18"/>
          <w:szCs w:val="18"/>
          <w:highlight w:val="none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18"/>
          <w:szCs w:val="18"/>
          <w:highlight w:val="none"/>
        </w:rPr>
        <w:t>扣款计算方式如下：</w:t>
      </w:r>
    </w:p>
    <w:p w14:paraId="65929A4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18"/>
          <w:szCs w:val="18"/>
          <w:highlight w:val="none"/>
        </w:rPr>
      </w:pPr>
      <w:r>
        <w:rPr>
          <w:rFonts w:hint="eastAsia" w:ascii="仿宋" w:hAnsi="仿宋" w:eastAsia="仿宋" w:cs="仿宋"/>
          <w:color w:val="auto"/>
          <w:sz w:val="18"/>
          <w:szCs w:val="18"/>
          <w:highlight w:val="none"/>
          <w:lang w:val="en-US" w:eastAsia="zh-CN"/>
        </w:rPr>
        <w:t>[</w:t>
      </w:r>
      <w:r>
        <w:rPr>
          <w:rFonts w:hint="eastAsia" w:ascii="仿宋" w:hAnsi="仿宋" w:eastAsia="仿宋" w:cs="仿宋"/>
          <w:color w:val="auto"/>
          <w:sz w:val="18"/>
          <w:szCs w:val="18"/>
          <w:highlight w:val="none"/>
        </w:rPr>
        <w:t>1-（100-实测水分-实测盐分）/</w:t>
      </w:r>
      <w:r>
        <w:rPr>
          <w:rFonts w:hint="eastAsia" w:ascii="仿宋" w:hAnsi="仿宋" w:eastAsia="仿宋" w:cs="仿宋"/>
          <w:color w:val="auto"/>
          <w:sz w:val="18"/>
          <w:szCs w:val="18"/>
          <w:highlight w:val="none"/>
          <w:lang w:eastAsia="zh-CN"/>
        </w:rPr>
        <w:t>无盐固形物标准值</w:t>
      </w:r>
      <w:r>
        <w:rPr>
          <w:rFonts w:hint="eastAsia" w:ascii="仿宋" w:hAnsi="仿宋" w:eastAsia="仿宋" w:cs="仿宋"/>
          <w:color w:val="auto"/>
          <w:sz w:val="18"/>
          <w:szCs w:val="18"/>
          <w:highlight w:val="none"/>
          <w:lang w:val="en-US" w:eastAsia="zh-CN"/>
        </w:rPr>
        <w:t>]</w:t>
      </w:r>
      <w:r>
        <w:rPr>
          <w:rFonts w:hint="eastAsia" w:ascii="仿宋" w:hAnsi="仿宋" w:eastAsia="仿宋" w:cs="仿宋"/>
          <w:color w:val="auto"/>
          <w:sz w:val="18"/>
          <w:szCs w:val="18"/>
          <w:highlight w:val="none"/>
        </w:rPr>
        <w:t>×</w:t>
      </w:r>
      <w:r>
        <w:rPr>
          <w:rFonts w:hint="eastAsia" w:ascii="仿宋" w:hAnsi="仿宋" w:eastAsia="仿宋" w:cs="仿宋"/>
          <w:bCs/>
          <w:color w:val="auto"/>
          <w:sz w:val="18"/>
          <w:szCs w:val="18"/>
          <w:highlight w:val="none"/>
          <w:lang w:eastAsia="zh-CN"/>
        </w:rPr>
        <w:t>单价×数量</w:t>
      </w:r>
    </w:p>
    <w:p w14:paraId="56F14A3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18"/>
          <w:szCs w:val="18"/>
          <w:highlight w:val="none"/>
        </w:rPr>
      </w:pPr>
      <w:r>
        <w:rPr>
          <w:rFonts w:hint="eastAsia" w:ascii="仿宋" w:hAnsi="仿宋" w:eastAsia="仿宋" w:cs="仿宋"/>
          <w:color w:val="auto"/>
          <w:sz w:val="18"/>
          <w:szCs w:val="18"/>
          <w:highlight w:val="none"/>
        </w:rPr>
        <w:t>（</w:t>
      </w:r>
      <w:r>
        <w:rPr>
          <w:rFonts w:hint="eastAsia" w:ascii="仿宋" w:hAnsi="仿宋" w:eastAsia="仿宋" w:cs="仿宋"/>
          <w:color w:val="auto"/>
          <w:sz w:val="18"/>
          <w:szCs w:val="1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18"/>
          <w:szCs w:val="18"/>
          <w:highlight w:val="none"/>
        </w:rPr>
        <w:t>）水分、盐分任有一项指标达到拒收</w:t>
      </w:r>
      <w:r>
        <w:rPr>
          <w:rFonts w:hint="eastAsia" w:ascii="仿宋" w:hAnsi="仿宋" w:eastAsia="仿宋" w:cs="仿宋"/>
          <w:color w:val="auto"/>
          <w:sz w:val="18"/>
          <w:szCs w:val="18"/>
          <w:highlight w:val="none"/>
          <w:lang w:val="en-US" w:eastAsia="zh-CN"/>
        </w:rPr>
        <w:t>标准</w:t>
      </w:r>
      <w:r>
        <w:rPr>
          <w:rFonts w:hint="eastAsia" w:ascii="仿宋" w:hAnsi="仿宋" w:eastAsia="仿宋" w:cs="仿宋"/>
          <w:color w:val="auto"/>
          <w:sz w:val="18"/>
          <w:szCs w:val="18"/>
          <w:highlight w:val="none"/>
        </w:rPr>
        <w:t>的，做拒收处理，</w:t>
      </w:r>
      <w:r>
        <w:rPr>
          <w:rFonts w:hint="eastAsia" w:ascii="仿宋" w:hAnsi="仿宋" w:eastAsia="仿宋" w:cs="仿宋"/>
          <w:color w:val="auto"/>
          <w:sz w:val="18"/>
          <w:szCs w:val="18"/>
          <w:highlight w:val="none"/>
          <w:lang w:val="en-US" w:eastAsia="zh-CN"/>
        </w:rPr>
        <w:t>也可综合评判，</w:t>
      </w:r>
      <w:r>
        <w:rPr>
          <w:rFonts w:hint="eastAsia" w:ascii="仿宋" w:hAnsi="仿宋" w:eastAsia="仿宋" w:cs="仿宋"/>
          <w:color w:val="auto"/>
          <w:sz w:val="18"/>
          <w:szCs w:val="18"/>
          <w:highlight w:val="none"/>
        </w:rPr>
        <w:t>产生的相关费用有供应厂商自行承担</w:t>
      </w:r>
      <w:r>
        <w:rPr>
          <w:rFonts w:hint="eastAsia" w:ascii="仿宋" w:hAnsi="仿宋" w:eastAsia="仿宋" w:cs="仿宋"/>
          <w:color w:val="auto"/>
          <w:sz w:val="18"/>
          <w:szCs w:val="18"/>
          <w:highlight w:val="none"/>
          <w:lang w:eastAsia="zh-CN"/>
        </w:rPr>
        <w:t>；</w:t>
      </w:r>
    </w:p>
    <w:p w14:paraId="3326263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color w:val="auto"/>
          <w:sz w:val="18"/>
          <w:szCs w:val="18"/>
        </w:rPr>
      </w:pPr>
      <w:r>
        <w:rPr>
          <w:rFonts w:hint="eastAsia" w:ascii="仿宋" w:hAnsi="仿宋" w:eastAsia="仿宋" w:cs="仿宋"/>
          <w:color w:val="auto"/>
          <w:sz w:val="18"/>
          <w:szCs w:val="18"/>
          <w:highlight w:val="none"/>
        </w:rPr>
        <w:t>（</w:t>
      </w:r>
      <w:r>
        <w:rPr>
          <w:rFonts w:hint="eastAsia" w:ascii="仿宋" w:hAnsi="仿宋" w:eastAsia="仿宋" w:cs="仿宋"/>
          <w:color w:val="auto"/>
          <w:sz w:val="18"/>
          <w:szCs w:val="18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18"/>
          <w:szCs w:val="18"/>
          <w:highlight w:val="none"/>
        </w:rPr>
        <w:t>）氨基酸态氮不符合允许</w:t>
      </w:r>
      <w:r>
        <w:rPr>
          <w:rFonts w:hint="eastAsia" w:ascii="仿宋" w:hAnsi="仿宋" w:eastAsia="仿宋" w:cs="仿宋"/>
          <w:color w:val="auto"/>
          <w:sz w:val="18"/>
          <w:szCs w:val="18"/>
          <w:highlight w:val="none"/>
          <w:lang w:val="en-US" w:eastAsia="zh-CN"/>
        </w:rPr>
        <w:t>标准</w:t>
      </w:r>
      <w:r>
        <w:rPr>
          <w:rFonts w:hint="eastAsia" w:ascii="仿宋" w:hAnsi="仿宋" w:eastAsia="仿宋" w:cs="仿宋"/>
          <w:color w:val="auto"/>
          <w:sz w:val="18"/>
          <w:szCs w:val="18"/>
          <w:highlight w:val="none"/>
        </w:rPr>
        <w:t>，但符合让步接收标准的，按每吨100元进行扣款；达到拒收规格的，做拒收处理</w:t>
      </w:r>
      <w:r>
        <w:rPr>
          <w:rFonts w:hint="eastAsia" w:ascii="仿宋" w:hAnsi="仿宋" w:eastAsia="仿宋" w:cs="仿宋"/>
          <w:i w:val="0"/>
          <w:iCs w:val="0"/>
          <w:color w:val="auto"/>
          <w:sz w:val="18"/>
          <w:szCs w:val="18"/>
        </w:rPr>
        <w:t>。</w:t>
      </w:r>
    </w:p>
    <w:p w14:paraId="22B20F0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="120" w:beforeLines="50" w:after="120" w:afterLines="50" w:line="240" w:lineRule="auto"/>
        <w:jc w:val="left"/>
        <w:outlineLvl w:val="9"/>
        <w:rPr>
          <w:rFonts w:hint="eastAsia" w:ascii="仿宋" w:hAnsi="仿宋" w:eastAsia="仿宋" w:cs="仿宋"/>
          <w:b/>
          <w:bCs/>
          <w:i w:val="0"/>
          <w:iCs w:val="0"/>
          <w:color w:val="auto"/>
          <w:sz w:val="18"/>
          <w:szCs w:val="18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auto"/>
          <w:sz w:val="18"/>
          <w:szCs w:val="18"/>
          <w:lang w:eastAsia="zh-CN"/>
        </w:rPr>
        <w:t>（四）</w:t>
      </w:r>
      <w:r>
        <w:rPr>
          <w:rFonts w:hint="eastAsia" w:ascii="仿宋" w:hAnsi="仿宋" w:eastAsia="仿宋" w:cs="仿宋"/>
          <w:b/>
          <w:bCs/>
          <w:i w:val="0"/>
          <w:iCs w:val="0"/>
          <w:color w:val="auto"/>
          <w:sz w:val="18"/>
          <w:szCs w:val="18"/>
        </w:rPr>
        <w:t>感官要求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4641"/>
        <w:gridCol w:w="2604"/>
      </w:tblGrid>
      <w:tr w14:paraId="44C4E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685" w:type="dxa"/>
            <w:vAlign w:val="center"/>
          </w:tcPr>
          <w:p w14:paraId="6455733B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</w:rPr>
              <w:t>项  目</w:t>
            </w:r>
          </w:p>
        </w:tc>
        <w:tc>
          <w:tcPr>
            <w:tcW w:w="4641" w:type="dxa"/>
            <w:vAlign w:val="center"/>
          </w:tcPr>
          <w:p w14:paraId="4C0506D0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</w:rPr>
              <w:t>要  求</w:t>
            </w:r>
          </w:p>
        </w:tc>
        <w:tc>
          <w:tcPr>
            <w:tcW w:w="2604" w:type="dxa"/>
            <w:vAlign w:val="center"/>
          </w:tcPr>
          <w:p w14:paraId="53A138E1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</w:rPr>
              <w:t>检验方法</w:t>
            </w:r>
          </w:p>
        </w:tc>
      </w:tr>
      <w:tr w14:paraId="0A494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685" w:type="dxa"/>
            <w:vAlign w:val="center"/>
          </w:tcPr>
          <w:p w14:paraId="6B6C0CF5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</w:rPr>
              <w:t>色泽</w:t>
            </w:r>
          </w:p>
        </w:tc>
        <w:tc>
          <w:tcPr>
            <w:tcW w:w="4641" w:type="dxa"/>
            <w:vAlign w:val="center"/>
          </w:tcPr>
          <w:p w14:paraId="0262FE0C">
            <w:pPr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lang w:val="en-US" w:eastAsia="zh-CN"/>
              </w:rPr>
              <w:t>1号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</w:rPr>
              <w:t>浅红褐色至深红褐色，红褐色油润有光泽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lang w:eastAsia="zh-CN"/>
              </w:rPr>
              <w:t>。</w:t>
            </w:r>
          </w:p>
          <w:p w14:paraId="02A37937">
            <w:pPr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lang w:val="en-US" w:eastAsia="zh-CN"/>
              </w:rPr>
              <w:t>2号、4号、5号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</w:rPr>
              <w:t>深红褐色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</w:rPr>
              <w:t>油润有光泽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lang w:eastAsia="zh-CN"/>
              </w:rPr>
              <w:t>。</w:t>
            </w:r>
          </w:p>
        </w:tc>
        <w:tc>
          <w:tcPr>
            <w:tcW w:w="2604" w:type="dxa"/>
            <w:vMerge w:val="restart"/>
            <w:vAlign w:val="center"/>
          </w:tcPr>
          <w:p w14:paraId="7B2D3FE8">
            <w:pPr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</w:rPr>
              <w:t>取适量样品放置于白色瓷盘内，在充足的自然光线下，目测色泽、组织形态/性状，嗅其气味，尝其滋味，检查有无杂质。</w:t>
            </w:r>
          </w:p>
        </w:tc>
      </w:tr>
      <w:tr w14:paraId="0CE80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685" w:type="dxa"/>
            <w:vAlign w:val="center"/>
          </w:tcPr>
          <w:p w14:paraId="7F068045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</w:rPr>
              <w:t>组织形态性状</w:t>
            </w:r>
          </w:p>
        </w:tc>
        <w:tc>
          <w:tcPr>
            <w:tcW w:w="4641" w:type="dxa"/>
            <w:vAlign w:val="center"/>
          </w:tcPr>
          <w:p w14:paraId="2EEB196F">
            <w:pPr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</w:rPr>
              <w:t>粘稠适度，可见辣椒块和蚕豆瓣粒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lang w:eastAsia="zh-CN"/>
              </w:rPr>
              <w:t>。</w:t>
            </w:r>
          </w:p>
        </w:tc>
        <w:tc>
          <w:tcPr>
            <w:tcW w:w="2604" w:type="dxa"/>
            <w:vMerge w:val="continue"/>
            <w:vAlign w:val="center"/>
          </w:tcPr>
          <w:p w14:paraId="0EB8CA02">
            <w:pPr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</w:rPr>
            </w:pPr>
          </w:p>
        </w:tc>
      </w:tr>
      <w:tr w14:paraId="4412B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685" w:type="dxa"/>
            <w:vAlign w:val="center"/>
          </w:tcPr>
          <w:p w14:paraId="28499A9D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</w:rPr>
              <w:t>滋、气味</w:t>
            </w:r>
          </w:p>
        </w:tc>
        <w:tc>
          <w:tcPr>
            <w:tcW w:w="4641" w:type="dxa"/>
            <w:vAlign w:val="center"/>
          </w:tcPr>
          <w:p w14:paraId="239CC978">
            <w:pPr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</w:rPr>
              <w:t>具有传统豆瓣固有的香气，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lang w:val="en-US" w:eastAsia="zh-CN"/>
              </w:rPr>
              <w:t>酱酯香较浓郁，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</w:rPr>
              <w:t>味鲜辣，瓣粒香脆、化渣，回味较长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lang w:eastAsia="zh-CN"/>
              </w:rPr>
              <w:t>。</w:t>
            </w:r>
          </w:p>
        </w:tc>
        <w:tc>
          <w:tcPr>
            <w:tcW w:w="2604" w:type="dxa"/>
            <w:vMerge w:val="continue"/>
            <w:vAlign w:val="center"/>
          </w:tcPr>
          <w:p w14:paraId="61149EC0">
            <w:pPr>
              <w:spacing w:line="240" w:lineRule="auto"/>
              <w:ind w:firstLine="360" w:firstLineChars="200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</w:rPr>
            </w:pPr>
          </w:p>
        </w:tc>
      </w:tr>
      <w:tr w14:paraId="48C80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685" w:type="dxa"/>
            <w:vAlign w:val="center"/>
          </w:tcPr>
          <w:p w14:paraId="56A35D06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</w:rPr>
              <w:t>杂质</w:t>
            </w:r>
          </w:p>
        </w:tc>
        <w:tc>
          <w:tcPr>
            <w:tcW w:w="4641" w:type="dxa"/>
            <w:vAlign w:val="center"/>
          </w:tcPr>
          <w:p w14:paraId="26F2FC6F">
            <w:pPr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</w:rPr>
              <w:t>无肉眼可见外来杂质（具体验收标准以杂质与异物标准执行）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lang w:eastAsia="zh-CN"/>
              </w:rPr>
              <w:t>。</w:t>
            </w:r>
          </w:p>
        </w:tc>
        <w:tc>
          <w:tcPr>
            <w:tcW w:w="2604" w:type="dxa"/>
            <w:vMerge w:val="continue"/>
            <w:vAlign w:val="center"/>
          </w:tcPr>
          <w:p w14:paraId="051E9F92">
            <w:pPr>
              <w:spacing w:line="240" w:lineRule="auto"/>
              <w:ind w:firstLine="360" w:firstLineChars="200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</w:rPr>
            </w:pPr>
          </w:p>
        </w:tc>
      </w:tr>
      <w:tr w14:paraId="77A7D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85" w:type="dxa"/>
            <w:vAlign w:val="center"/>
          </w:tcPr>
          <w:p w14:paraId="03AA26A9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</w:rPr>
              <w:t>备注</w:t>
            </w:r>
          </w:p>
        </w:tc>
        <w:tc>
          <w:tcPr>
            <w:tcW w:w="7245" w:type="dxa"/>
            <w:gridSpan w:val="2"/>
            <w:vAlign w:val="center"/>
          </w:tcPr>
          <w:p w14:paraId="58753AD8">
            <w:pPr>
              <w:spacing w:line="240" w:lineRule="auto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</w:rPr>
              <w:t>验收时，若感官指标按本表所列要求与检验方法进行判定出现争议，可适当参考经双方确认后封存的样品。</w:t>
            </w:r>
          </w:p>
        </w:tc>
      </w:tr>
    </w:tbl>
    <w:p w14:paraId="66D12F9D">
      <w:pPr>
        <w:numPr>
          <w:ilvl w:val="0"/>
          <w:numId w:val="0"/>
        </w:numPr>
        <w:spacing w:beforeLines="50" w:afterLines="50" w:line="240" w:lineRule="auto"/>
        <w:rPr>
          <w:rFonts w:hint="eastAsia" w:ascii="仿宋" w:hAnsi="仿宋" w:eastAsia="仿宋" w:cs="仿宋"/>
          <w:b w:val="0"/>
          <w:bCs/>
          <w:i w:val="0"/>
          <w:iCs w:val="0"/>
          <w:color w:val="auto"/>
          <w:sz w:val="18"/>
          <w:szCs w:val="18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olor w:val="auto"/>
          <w:sz w:val="18"/>
          <w:szCs w:val="18"/>
          <w:lang w:val="en-US" w:eastAsia="zh-CN"/>
        </w:rPr>
        <w:t>三、</w:t>
      </w:r>
      <w:r>
        <w:rPr>
          <w:rFonts w:hint="eastAsia" w:ascii="仿宋" w:hAnsi="仿宋" w:eastAsia="仿宋" w:cs="仿宋"/>
          <w:b w:val="0"/>
          <w:bCs/>
          <w:i w:val="0"/>
          <w:iCs w:val="0"/>
          <w:color w:val="auto"/>
          <w:sz w:val="18"/>
          <w:szCs w:val="18"/>
        </w:rPr>
        <w:t>杂质与异物标准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617"/>
        <w:gridCol w:w="1410"/>
        <w:gridCol w:w="990"/>
        <w:gridCol w:w="1260"/>
        <w:gridCol w:w="5302"/>
      </w:tblGrid>
      <w:tr w14:paraId="5D95A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73" w:hRule="exact"/>
          <w:jc w:val="center"/>
        </w:trPr>
        <w:tc>
          <w:tcPr>
            <w:tcW w:w="617" w:type="dxa"/>
            <w:vAlign w:val="center"/>
          </w:tcPr>
          <w:p w14:paraId="66A41603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验收项目</w:t>
            </w:r>
          </w:p>
        </w:tc>
        <w:tc>
          <w:tcPr>
            <w:tcW w:w="1410" w:type="dxa"/>
            <w:vAlign w:val="center"/>
          </w:tcPr>
          <w:p w14:paraId="61E29925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接收标准</w:t>
            </w:r>
          </w:p>
        </w:tc>
        <w:tc>
          <w:tcPr>
            <w:tcW w:w="990" w:type="dxa"/>
            <w:vAlign w:val="center"/>
          </w:tcPr>
          <w:p w14:paraId="24A3E165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拒收标准</w:t>
            </w:r>
          </w:p>
        </w:tc>
        <w:tc>
          <w:tcPr>
            <w:tcW w:w="1260" w:type="dxa"/>
            <w:vAlign w:val="center"/>
          </w:tcPr>
          <w:p w14:paraId="280FAA56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检验频率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方法</w:t>
            </w:r>
          </w:p>
        </w:tc>
        <w:tc>
          <w:tcPr>
            <w:tcW w:w="5302" w:type="dxa"/>
            <w:vAlign w:val="center"/>
          </w:tcPr>
          <w:p w14:paraId="68F20DD3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处罚方式及标准</w:t>
            </w:r>
          </w:p>
        </w:tc>
      </w:tr>
      <w:tr w14:paraId="2371A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84" w:hRule="atLeast"/>
          <w:jc w:val="center"/>
        </w:trPr>
        <w:tc>
          <w:tcPr>
            <w:tcW w:w="617" w:type="dxa"/>
            <w:vMerge w:val="restart"/>
            <w:vAlign w:val="center"/>
          </w:tcPr>
          <w:p w14:paraId="40AB8405"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异  物</w:t>
            </w:r>
          </w:p>
        </w:tc>
        <w:tc>
          <w:tcPr>
            <w:tcW w:w="1410" w:type="dxa"/>
            <w:vAlign w:val="center"/>
          </w:tcPr>
          <w:p w14:paraId="176CE926"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eastAsia="zh-CN"/>
              </w:rPr>
              <w:t>外源性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</w:rPr>
              <w:t>恶性异物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未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</w:rPr>
              <w:t>出现。</w:t>
            </w:r>
          </w:p>
          <w:p w14:paraId="0B95C758">
            <w:pPr>
              <w:spacing w:line="240" w:lineRule="auto"/>
              <w:jc w:val="left"/>
              <w:rPr>
                <w:rFonts w:hint="eastAsia" w:ascii="仿宋" w:hAnsi="仿宋" w:eastAsia="仿宋" w:cs="仿宋"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vAlign w:val="center"/>
          </w:tcPr>
          <w:p w14:paraId="0C5E2CF8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抽检</w:t>
            </w:r>
          </w:p>
          <w:p w14:paraId="3DE4B988"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u w:val="none"/>
              </w:rPr>
              <w:t>出现</w:t>
            </w:r>
          </w:p>
        </w:tc>
        <w:tc>
          <w:tcPr>
            <w:tcW w:w="1260" w:type="dxa"/>
            <w:vMerge w:val="restart"/>
            <w:vAlign w:val="center"/>
          </w:tcPr>
          <w:p w14:paraId="0546CF5C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  <w:p w14:paraId="19691857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  <w:t>每车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随机抽样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  <w:t>0kg以上的样本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  <w:t>批量挑选验证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。</w:t>
            </w:r>
          </w:p>
          <w:p w14:paraId="61AADE19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302" w:type="dxa"/>
            <w:vAlign w:val="center"/>
          </w:tcPr>
          <w:p w14:paraId="72743D9A">
            <w:pPr>
              <w:numPr>
                <w:ilvl w:val="0"/>
                <w:numId w:val="0"/>
              </w:numPr>
              <w:spacing w:line="240" w:lineRule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1）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  <w:t>抽样检验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  <w:t>批量挑选验证过程中超过标准，拒收处理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。</w:t>
            </w:r>
          </w:p>
          <w:p w14:paraId="69D991C5">
            <w:pPr>
              <w:numPr>
                <w:ilvl w:val="0"/>
                <w:numId w:val="0"/>
              </w:numPr>
              <w:spacing w:line="240" w:lineRule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2）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  <w:t>卸货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  <w:t>生产过程中发现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（经生产、品控、采购部门鉴定属实）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  <w:t>恶性异物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</w:rPr>
              <w:t>动物及残骸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  <w:t>按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照50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  <w:t>00元/个扣款（未卸完的货拒收）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已下的货按照300元/吨扣除挑选费用或退货处理。</w:t>
            </w:r>
          </w:p>
          <w:p w14:paraId="205FB523">
            <w:pPr>
              <w:numPr>
                <w:ilvl w:val="0"/>
                <w:numId w:val="0"/>
              </w:numPr>
              <w:spacing w:line="240" w:lineRule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3）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  <w:t>卸货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  <w:t>生产过程中发现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（经生产、品控、采购部门鉴定属实）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其它恶性异物按照1000元/个扣款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  <w:t>（未卸完的货拒收）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已下的货按照150元/吨扣除挑选费用。</w:t>
            </w:r>
          </w:p>
        </w:tc>
      </w:tr>
      <w:tr w14:paraId="73F91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94" w:hRule="atLeast"/>
          <w:jc w:val="center"/>
        </w:trPr>
        <w:tc>
          <w:tcPr>
            <w:tcW w:w="617" w:type="dxa"/>
            <w:vMerge w:val="continue"/>
            <w:vAlign w:val="center"/>
          </w:tcPr>
          <w:p w14:paraId="5D4196C2">
            <w:pPr>
              <w:spacing w:line="240" w:lineRule="auto"/>
              <w:ind w:firstLine="720" w:firstLineChars="400"/>
              <w:rPr>
                <w:rFonts w:hint="eastAsia" w:ascii="仿宋" w:hAnsi="仿宋" w:eastAsia="仿宋" w:cs="仿宋"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 w14:paraId="5A3EDC26">
            <w:pPr>
              <w:spacing w:line="240" w:lineRule="auto"/>
              <w:jc w:val="left"/>
              <w:rPr>
                <w:rFonts w:hint="eastAsia" w:ascii="仿宋" w:hAnsi="仿宋" w:eastAsia="仿宋" w:cs="仿宋"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外源性一般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异物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未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出现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。</w:t>
            </w:r>
          </w:p>
        </w:tc>
        <w:tc>
          <w:tcPr>
            <w:tcW w:w="990" w:type="dxa"/>
            <w:vAlign w:val="center"/>
          </w:tcPr>
          <w:p w14:paraId="30DFD44E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抽检</w:t>
            </w:r>
          </w:p>
          <w:p w14:paraId="204A04C4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u w:val="none"/>
              </w:rPr>
              <w:t>出现</w:t>
            </w:r>
          </w:p>
        </w:tc>
        <w:tc>
          <w:tcPr>
            <w:tcW w:w="1260" w:type="dxa"/>
            <w:vMerge w:val="continue"/>
            <w:vAlign w:val="center"/>
          </w:tcPr>
          <w:p w14:paraId="73651F43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302" w:type="dxa"/>
            <w:vAlign w:val="center"/>
          </w:tcPr>
          <w:p w14:paraId="73753858">
            <w:pPr>
              <w:numPr>
                <w:ilvl w:val="-1"/>
                <w:numId w:val="0"/>
              </w:numPr>
              <w:spacing w:line="240" w:lineRule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1）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  <w:t>抽样检验过程中超过标准，拒收处理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。</w:t>
            </w:r>
          </w:p>
          <w:p w14:paraId="15885011">
            <w:pPr>
              <w:numPr>
                <w:ilvl w:val="-1"/>
                <w:numId w:val="0"/>
              </w:numPr>
              <w:spacing w:line="240" w:lineRule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2）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  <w:t>生产在使用之前批量挑选验证，数量不低于2吨，按照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验证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  <w:t>产品比例计算对应供应商的异物数量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：</w:t>
            </w:r>
          </w:p>
          <w:p w14:paraId="06CC6470">
            <w:pPr>
              <w:numPr>
                <w:ilvl w:val="0"/>
                <w:numId w:val="0"/>
              </w:numPr>
              <w:spacing w:line="240" w:lineRule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①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  <w:t>异物数量＞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个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  <w:t>/吨，拒收；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如因产能原因需让步接收的，按照150元/吨扣除挑选费用。</w:t>
            </w:r>
          </w:p>
          <w:p w14:paraId="44634478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②1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个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  <w:t>/吨≤异物数量≤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个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  <w:t>/吨，按照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  <w:t>元/吨扣款。</w:t>
            </w:r>
          </w:p>
          <w:p w14:paraId="11139D87">
            <w:pPr>
              <w:numPr>
                <w:ilvl w:val="-1"/>
                <w:numId w:val="0"/>
              </w:numPr>
              <w:spacing w:line="240" w:lineRule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③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  <w:t>异物数量＜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个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  <w:t>/吨，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不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  <w:t>扣款。</w:t>
            </w:r>
          </w:p>
          <w:p w14:paraId="7914A099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3）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卸货及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  <w:t>生产过程中发现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（经生产、品控、采购部门鉴定属实）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</w:rPr>
              <w:t>小型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昆虫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</w:rPr>
              <w:t>或幼虫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、瓷砖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石头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/水泥块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  <w:t>竹块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/签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  <w:t>、木块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/签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泡沫块、软胶块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/条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、毛发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  <w:t>，按照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  <w:t>00元/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个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  <w:t>进行扣款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。</w:t>
            </w:r>
          </w:p>
        </w:tc>
      </w:tr>
      <w:tr w14:paraId="364E5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00" w:hRule="atLeast"/>
          <w:jc w:val="center"/>
        </w:trPr>
        <w:tc>
          <w:tcPr>
            <w:tcW w:w="617" w:type="dxa"/>
            <w:vMerge w:val="continue"/>
            <w:vAlign w:val="center"/>
          </w:tcPr>
          <w:p w14:paraId="7311FD71">
            <w:pPr>
              <w:spacing w:line="240" w:lineRule="auto"/>
              <w:ind w:firstLine="720" w:firstLineChars="400"/>
              <w:rPr>
                <w:rFonts w:hint="eastAsia" w:ascii="仿宋" w:hAnsi="仿宋" w:eastAsia="仿宋" w:cs="仿宋"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 w14:paraId="2DF2CDFE">
            <w:pPr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内源性杂质≤0.1g/kg。</w:t>
            </w:r>
          </w:p>
        </w:tc>
        <w:tc>
          <w:tcPr>
            <w:tcW w:w="990" w:type="dxa"/>
            <w:vAlign w:val="center"/>
          </w:tcPr>
          <w:p w14:paraId="37A9DDCA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≥0.3g/kg。</w:t>
            </w:r>
          </w:p>
        </w:tc>
        <w:tc>
          <w:tcPr>
            <w:tcW w:w="1260" w:type="dxa"/>
            <w:vMerge w:val="continue"/>
            <w:vAlign w:val="center"/>
          </w:tcPr>
          <w:p w14:paraId="3980D7F0"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02" w:type="dxa"/>
            <w:vAlign w:val="center"/>
          </w:tcPr>
          <w:p w14:paraId="3676E846">
            <w:pPr>
              <w:spacing w:line="240" w:lineRule="auto"/>
              <w:rPr>
                <w:rFonts w:hint="eastAsia" w:ascii="仿宋" w:hAnsi="仿宋" w:eastAsia="仿宋" w:cs="仿宋"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达到让步接收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：0.1g/kg＜内源性异物＜0.3g/kg，按1000元/kg扣款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。</w:t>
            </w:r>
          </w:p>
        </w:tc>
      </w:tr>
      <w:tr w14:paraId="45D35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713" w:hRule="atLeast"/>
          <w:jc w:val="center"/>
        </w:trPr>
        <w:tc>
          <w:tcPr>
            <w:tcW w:w="9579" w:type="dxa"/>
            <w:gridSpan w:val="5"/>
            <w:vAlign w:val="center"/>
          </w:tcPr>
          <w:p w14:paraId="46D97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备注：</w:t>
            </w:r>
          </w:p>
          <w:p w14:paraId="2663F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1、外源性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  <w:t>恶性异物是指：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</w:rPr>
              <w:t>动物及残骸、药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/食品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</w:rPr>
              <w:t>残骸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或非食用物质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  <w:t>烟头、创口贴、布条、羽毛、药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/食品包装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  <w:t>瓶（袋）、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胶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纱布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  <w:t>、金属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（碎屑不计）、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  <w:t>玻璃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、硬塑料（胶）块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/条等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  <w:t>异物。</w:t>
            </w:r>
          </w:p>
          <w:p w14:paraId="3B126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外源性一般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  <w:t>异物：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</w:rPr>
              <w:t>小型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昆虫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</w:rPr>
              <w:t>或幼虫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、瓷砖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石头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/水泥块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  <w:t>竹块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/签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  <w:t>、木块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/签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泡沫块、软胶块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/条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、毛发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  <w:t>塑料丝、线绳、塑料膜、地膜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3mm以下金属碎屑等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  <w:t>异物。</w:t>
            </w:r>
          </w:p>
          <w:p w14:paraId="3DF59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  <w:t>内源性杂质是指：辣椒叶、辣椒枝杆、杂草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、蚕豆壳、秸秆及玉米、黄豆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  <w:t>等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农作物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  <w:t>。</w:t>
            </w:r>
          </w:p>
          <w:p w14:paraId="13487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若出现某种异物未在以上异物分类明细中，经品控、生产风险评估对该异物进行分类、处置。</w:t>
            </w:r>
          </w:p>
          <w:p w14:paraId="6A263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5、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  <w:t>货值是指：单价×数量。</w:t>
            </w:r>
          </w:p>
          <w:p w14:paraId="70F41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6、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  <w:t>异物计算方式：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m吨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  <w:t>验证供应商半成品的异物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n个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  <w:t>，依次作为基础数据n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个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÷m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吨。</w:t>
            </w:r>
          </w:p>
          <w:p w14:paraId="5445D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7、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异物罚款计算：罚款金额=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n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个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÷m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吨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对应的罚款范围×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到货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数量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。</w:t>
            </w:r>
          </w:p>
          <w:p w14:paraId="60D22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8、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公司终产品在销售期间，被反馈产品夹带异物问题，经追溯来自原料携带，将按照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u w:val="none"/>
                <w:lang w:val="en-US" w:eastAsia="zh-CN" w:bidi="ar"/>
              </w:rPr>
              <w:t>《产品质量管理奖惩办法》附件5《各类产品质量问题责任比例划分明细表》追究相关原料供应商直接责任。</w:t>
            </w:r>
          </w:p>
          <w:p w14:paraId="5271C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9、本标准最终解释权归四川省郫县豆瓣股份有限公司。</w:t>
            </w:r>
          </w:p>
        </w:tc>
      </w:tr>
    </w:tbl>
    <w:p w14:paraId="4AC5806D">
      <w:pPr>
        <w:spacing w:beforeLines="50" w:afterLines="50" w:line="240" w:lineRule="auto"/>
        <w:rPr>
          <w:rFonts w:hint="eastAsia" w:ascii="仿宋" w:hAnsi="仿宋" w:eastAsia="仿宋" w:cs="仿宋"/>
          <w:b w:val="0"/>
          <w:bCs/>
          <w:i w:val="0"/>
          <w:iCs w:val="0"/>
          <w:color w:val="auto"/>
          <w:sz w:val="18"/>
          <w:szCs w:val="18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olor w:val="auto"/>
          <w:sz w:val="18"/>
          <w:szCs w:val="18"/>
          <w:lang w:val="en-US" w:eastAsia="zh-CN"/>
        </w:rPr>
        <w:t>四</w:t>
      </w:r>
      <w:r>
        <w:rPr>
          <w:rFonts w:hint="eastAsia" w:ascii="仿宋" w:hAnsi="仿宋" w:eastAsia="仿宋" w:cs="仿宋"/>
          <w:b w:val="0"/>
          <w:bCs/>
          <w:i w:val="0"/>
          <w:iCs w:val="0"/>
          <w:color w:val="auto"/>
          <w:sz w:val="18"/>
          <w:szCs w:val="18"/>
        </w:rPr>
        <w:t>、含沙量要求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0"/>
        <w:gridCol w:w="1103"/>
        <w:gridCol w:w="1965"/>
        <w:gridCol w:w="3967"/>
      </w:tblGrid>
      <w:tr w14:paraId="371153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0261F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</w:rPr>
              <w:t>项   目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BD9D9C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</w:rPr>
              <w:t>要求</w:t>
            </w:r>
          </w:p>
        </w:tc>
        <w:tc>
          <w:tcPr>
            <w:tcW w:w="5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830AB2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</w:rPr>
              <w:t>扣款标准</w:t>
            </w:r>
          </w:p>
        </w:tc>
      </w:tr>
      <w:tr w14:paraId="184468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6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D9AED"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</w:rPr>
              <w:t xml:space="preserve">含沙量/(g/kg)  </w:t>
            </w:r>
          </w:p>
        </w:tc>
        <w:tc>
          <w:tcPr>
            <w:tcW w:w="11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C21A5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</w:rPr>
              <w:t xml:space="preserve"> ≤0.0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BBFAA4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</w:rPr>
              <w:t>0.0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</w:rPr>
              <w:t>～0.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lang w:val="en-US" w:eastAsia="zh-CN"/>
              </w:rPr>
              <w:t>05</w:t>
            </w:r>
          </w:p>
        </w:tc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32995"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</w:rPr>
              <w:t>按（检出值-0.0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</w:rPr>
              <w:t>）×货值进行扣款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lang w:eastAsia="zh-CN"/>
              </w:rPr>
              <w:t>。</w:t>
            </w:r>
          </w:p>
        </w:tc>
      </w:tr>
      <w:tr w14:paraId="3E920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6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97044A"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DF2D04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A4412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</w:rPr>
              <w:t>＞0.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lang w:val="en-US" w:eastAsia="zh-CN"/>
              </w:rPr>
              <w:t>05</w:t>
            </w:r>
          </w:p>
        </w:tc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C90B7"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lang w:val="en-US" w:eastAsia="zh-CN"/>
              </w:rPr>
              <w:t>不符合要求者，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</w:rPr>
              <w:t>拒收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lang w:eastAsia="zh-CN"/>
              </w:rPr>
              <w:t>。</w:t>
            </w:r>
          </w:p>
        </w:tc>
      </w:tr>
      <w:tr w14:paraId="2EFE3E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96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34B3D">
            <w:pPr>
              <w:spacing w:line="240" w:lineRule="auto"/>
              <w:jc w:val="left"/>
              <w:rPr>
                <w:rFonts w:hint="eastAsia" w:ascii="仿宋" w:hAnsi="仿宋" w:eastAsia="仿宋" w:cs="仿宋"/>
                <w:bCs/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color w:val="auto"/>
                <w:sz w:val="18"/>
                <w:szCs w:val="18"/>
              </w:rPr>
              <w:t>说明：测含沙量须在卸货前取样进行检测，符合要求后，才能卸货。</w:t>
            </w:r>
          </w:p>
        </w:tc>
      </w:tr>
    </w:tbl>
    <w:p w14:paraId="4BC2D5AB">
      <w:pPr>
        <w:spacing w:line="240" w:lineRule="auto"/>
        <w:jc w:val="left"/>
        <w:rPr>
          <w:rFonts w:hint="eastAsia" w:ascii="宋体" w:hAnsi="宋体" w:eastAsia="宋体" w:cs="宋体"/>
          <w:sz w:val="18"/>
          <w:szCs w:val="18"/>
          <w:u w:val="none"/>
        </w:rPr>
      </w:pPr>
    </w:p>
    <w:sectPr>
      <w:pgSz w:w="11906" w:h="16838"/>
      <w:pgMar w:top="873" w:right="1800" w:bottom="87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D75919"/>
    <w:multiLevelType w:val="singleLevel"/>
    <w:tmpl w:val="57D75919"/>
    <w:lvl w:ilvl="0" w:tentative="0">
      <w:start w:val="1"/>
      <w:numFmt w:val="decimal"/>
      <w:suff w:val="nothing"/>
      <w:lvlText w:val="%1）"/>
      <w:lvlJc w:val="left"/>
      <w:rPr>
        <w:rFonts w:hint="default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iODlmODI0MWY0YzllMmIzMWFiZDM4Y2ZjNzVjM2EifQ=="/>
  </w:docVars>
  <w:rsids>
    <w:rsidRoot w:val="00000000"/>
    <w:rsid w:val="031A08BE"/>
    <w:rsid w:val="03785422"/>
    <w:rsid w:val="042674CF"/>
    <w:rsid w:val="048205F1"/>
    <w:rsid w:val="068878BC"/>
    <w:rsid w:val="06951F4A"/>
    <w:rsid w:val="06DB44D3"/>
    <w:rsid w:val="09231F92"/>
    <w:rsid w:val="0A612F85"/>
    <w:rsid w:val="0AB96FC5"/>
    <w:rsid w:val="0B4C4AD3"/>
    <w:rsid w:val="0D695E6C"/>
    <w:rsid w:val="0F101BEE"/>
    <w:rsid w:val="144A343B"/>
    <w:rsid w:val="17B433EB"/>
    <w:rsid w:val="1928402F"/>
    <w:rsid w:val="1BA167A3"/>
    <w:rsid w:val="1CD324D7"/>
    <w:rsid w:val="1E601F79"/>
    <w:rsid w:val="1EA93364"/>
    <w:rsid w:val="1EF63B16"/>
    <w:rsid w:val="1FA2541E"/>
    <w:rsid w:val="226618C0"/>
    <w:rsid w:val="22F07537"/>
    <w:rsid w:val="234F4AF9"/>
    <w:rsid w:val="25FF62B2"/>
    <w:rsid w:val="27B110A5"/>
    <w:rsid w:val="28487262"/>
    <w:rsid w:val="294136F0"/>
    <w:rsid w:val="299032EE"/>
    <w:rsid w:val="29F41DB0"/>
    <w:rsid w:val="2A1E04DE"/>
    <w:rsid w:val="2B8D41B4"/>
    <w:rsid w:val="2C514393"/>
    <w:rsid w:val="2D0D5B51"/>
    <w:rsid w:val="2EB744D4"/>
    <w:rsid w:val="30E734C3"/>
    <w:rsid w:val="3247534E"/>
    <w:rsid w:val="32845AD2"/>
    <w:rsid w:val="358D37C5"/>
    <w:rsid w:val="363D3BCE"/>
    <w:rsid w:val="368924D6"/>
    <w:rsid w:val="3CFC6101"/>
    <w:rsid w:val="3D056ABF"/>
    <w:rsid w:val="3D5174C5"/>
    <w:rsid w:val="3DCB5E3C"/>
    <w:rsid w:val="3F3850A3"/>
    <w:rsid w:val="3F7A41CD"/>
    <w:rsid w:val="40FF70AA"/>
    <w:rsid w:val="426827BA"/>
    <w:rsid w:val="439E6549"/>
    <w:rsid w:val="456A30F7"/>
    <w:rsid w:val="46623F73"/>
    <w:rsid w:val="46CB194D"/>
    <w:rsid w:val="48930B7A"/>
    <w:rsid w:val="4B68207B"/>
    <w:rsid w:val="4BE3428E"/>
    <w:rsid w:val="4C2136DF"/>
    <w:rsid w:val="4C357CFF"/>
    <w:rsid w:val="4E427672"/>
    <w:rsid w:val="517D2BAC"/>
    <w:rsid w:val="536964DD"/>
    <w:rsid w:val="54794F31"/>
    <w:rsid w:val="5A9247D0"/>
    <w:rsid w:val="5D311F84"/>
    <w:rsid w:val="5D4B44C8"/>
    <w:rsid w:val="5EAC50CE"/>
    <w:rsid w:val="61033A75"/>
    <w:rsid w:val="61D06D34"/>
    <w:rsid w:val="64483C57"/>
    <w:rsid w:val="64E543D8"/>
    <w:rsid w:val="653E062F"/>
    <w:rsid w:val="66AF4152"/>
    <w:rsid w:val="671B64C2"/>
    <w:rsid w:val="671D56C3"/>
    <w:rsid w:val="673002CC"/>
    <w:rsid w:val="67A54502"/>
    <w:rsid w:val="68863FA3"/>
    <w:rsid w:val="69B93C5E"/>
    <w:rsid w:val="6B3E36E3"/>
    <w:rsid w:val="6B57511E"/>
    <w:rsid w:val="6BAE3610"/>
    <w:rsid w:val="709336CA"/>
    <w:rsid w:val="744C2416"/>
    <w:rsid w:val="75614188"/>
    <w:rsid w:val="77706313"/>
    <w:rsid w:val="788E35D8"/>
    <w:rsid w:val="793714EE"/>
    <w:rsid w:val="793A62B3"/>
    <w:rsid w:val="7AB7737C"/>
    <w:rsid w:val="7BF53FB2"/>
    <w:rsid w:val="7C1E171A"/>
    <w:rsid w:val="7CC52AE6"/>
    <w:rsid w:val="7DCA5D4F"/>
    <w:rsid w:val="7E2D31A4"/>
    <w:rsid w:val="7EB72A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2890</Words>
  <Characters>3114</Characters>
  <Lines>0</Lines>
  <Paragraphs>0</Paragraphs>
  <TotalTime>2</TotalTime>
  <ScaleCrop>false</ScaleCrop>
  <LinksUpToDate>false</LinksUpToDate>
  <CharactersWithSpaces>3199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2024-01-09T02:31:00Z</dcterms:created>
  <dc:creator>zht</dc:creator>
  <cp:lastModifiedBy>轻风抚洱</cp:lastModifiedBy>
  <cp:lastPrinted>2025-07-25T01:46:00Z</cp:lastPrinted>
  <dcterms:modified xsi:type="dcterms:W3CDTF">2025-10-15T06:03:58Z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11E9E77F1A8D4D50BA37756651BA2A3F_13</vt:lpwstr>
  </property>
  <property fmtid="{D5CDD505-2E9C-101B-9397-08002B2CF9AE}" pid="4" name="KSOTemplateDocerSaveRecord">
    <vt:lpwstr>eyJoZGlkIjoiMzEwNTM5NzYwMDRjMzkwZTVkZjY2ODkwMGIxNGU0OTUiLCJ1c2VySWQiOiI0NTQ1ODU5MDcifQ==</vt:lpwstr>
  </property>
</Properties>
</file>